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399E8">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-1130300</wp:posOffset>
            </wp:positionH>
            <wp:positionV relativeFrom="page">
              <wp:posOffset>-7620</wp:posOffset>
            </wp:positionV>
            <wp:extent cx="7686040" cy="10692130"/>
            <wp:effectExtent l="0" t="0" r="10160" b="13970"/>
            <wp:wrapNone/>
            <wp:docPr id="32" name="图片 32" descr="H:\稻壳儿相关资料\封面-非模\09.jp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稻壳儿相关资料\封面-非模\09.jpg09"/>
                    <pic:cNvPicPr>
                      <a:picLocks noChangeAspect="1"/>
                    </pic:cNvPicPr>
                  </pic:nvPicPr>
                  <pic:blipFill>
                    <a:blip r:embed="rId10"/>
                    <a:srcRect/>
                    <a:stretch>
                      <a:fillRect/>
                    </a:stretch>
                  </pic:blipFill>
                  <pic:spPr>
                    <a:xfrm>
                      <a:off x="0" y="0"/>
                      <a:ext cx="7686040" cy="10692130"/>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-844550</wp:posOffset>
            </wp:positionH>
            <wp:positionV relativeFrom="paragraph">
              <wp:posOffset>-753745</wp:posOffset>
            </wp:positionV>
            <wp:extent cx="3330575" cy="524510"/>
            <wp:effectExtent l="0" t="0" r="3175" b="8890"/>
            <wp:wrapNone/>
            <wp:docPr id="33" name="图片 10" descr="医药科技学校 标志 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医药科技学校 标志 蓝色"/>
                    <pic:cNvPicPr>
                      <a:picLocks noChangeAspect="1"/>
                    </pic:cNvPicPr>
                  </pic:nvPicPr>
                  <pic:blipFill>
                    <a:blip r:embed="rId11"/>
                    <a:stretch>
                      <a:fillRect/>
                    </a:stretch>
                  </pic:blipFill>
                  <pic:spPr>
                    <a:xfrm>
                      <a:off x="0" y="0"/>
                      <a:ext cx="3330575" cy="524510"/>
                    </a:xfrm>
                    <a:prstGeom prst="rect">
                      <a:avLst/>
                    </a:prstGeom>
                  </pic:spPr>
                </pic:pic>
              </a:graphicData>
            </a:graphic>
          </wp:anchor>
        </w:drawing>
      </w:r>
      <w:r>
        <w:rPr>
          <w:rFonts w:hint="eastAsia"/>
          <w:sz w:val="21"/>
          <w:lang w:eastAsia="zh-CN"/>
        </w:rPr>
        <w:drawing>
          <wp:anchor distT="0" distB="0" distL="114300" distR="114300" simplePos="0" relativeHeight="251669504" behindDoc="1" locked="0" layoutInCell="1" allowOverlap="1">
            <wp:simplePos x="0" y="0"/>
            <wp:positionH relativeFrom="column">
              <wp:posOffset>-83820</wp:posOffset>
            </wp:positionH>
            <wp:positionV relativeFrom="paragraph">
              <wp:posOffset>-1375410</wp:posOffset>
            </wp:positionV>
            <wp:extent cx="6639560" cy="1127760"/>
            <wp:effectExtent l="0" t="0" r="8890" b="15240"/>
            <wp:wrapNone/>
            <wp:docPr id="37" name="图片 37" descr="D:\Word设计\1平面设计\海报\2022.10.12商务封面封底\images\1_03.png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Word设计\1平面设计\海报\2022.10.12商务封面封底\images\1_03.png1_03"/>
                    <pic:cNvPicPr>
                      <a:picLocks noChangeAspect="1"/>
                    </pic:cNvPicPr>
                  </pic:nvPicPr>
                  <pic:blipFill>
                    <a:blip r:embed="rId12"/>
                    <a:srcRect/>
                    <a:stretch>
                      <a:fillRect/>
                    </a:stretch>
                  </pic:blipFill>
                  <pic:spPr>
                    <a:xfrm>
                      <a:off x="0" y="0"/>
                      <a:ext cx="6639560" cy="1127760"/>
                    </a:xfrm>
                    <a:prstGeom prst="rect">
                      <a:avLst/>
                    </a:prstGeom>
                  </pic:spPr>
                </pic:pic>
              </a:graphicData>
            </a:graphic>
          </wp:anchor>
        </w:drawing>
      </w:r>
    </w:p>
    <w:p w14:paraId="22D8CFE7">
      <w:pPr>
        <w:rPr>
          <w:rFonts w:hint="eastAsia" w:ascii="方正小标宋简体" w:hAnsi="方正小标宋简体" w:eastAsia="方正小标宋简体" w:cs="方正小标宋简体"/>
          <w:sz w:val="48"/>
          <w:szCs w:val="56"/>
          <w:lang w:val="en-US" w:eastAsia="zh-CN"/>
        </w:rPr>
        <w:sectPr>
          <w:pgSz w:w="11906" w:h="16838"/>
          <w:pgMar w:top="2154" w:right="1474" w:bottom="2041" w:left="1587"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666432" behindDoc="0" locked="0" layoutInCell="1" allowOverlap="1">
                <wp:simplePos x="0" y="0"/>
                <wp:positionH relativeFrom="column">
                  <wp:posOffset>1395095</wp:posOffset>
                </wp:positionH>
                <wp:positionV relativeFrom="paragraph">
                  <wp:posOffset>7621905</wp:posOffset>
                </wp:positionV>
                <wp:extent cx="2557780" cy="487680"/>
                <wp:effectExtent l="0" t="0" r="0" b="0"/>
                <wp:wrapNone/>
                <wp:docPr id="20" name="矩形 19"/>
                <wp:cNvGraphicFramePr/>
                <a:graphic xmlns:a="http://schemas.openxmlformats.org/drawingml/2006/main">
                  <a:graphicData uri="http://schemas.microsoft.com/office/word/2010/wordprocessingShape">
                    <wps:wsp>
                      <wps:cNvSpPr/>
                      <wps:spPr>
                        <a:xfrm>
                          <a:off x="0" y="0"/>
                          <a:ext cx="2557780" cy="487680"/>
                        </a:xfrm>
                        <a:prstGeom prst="rect">
                          <a:avLst/>
                        </a:prstGeom>
                      </wps:spPr>
                      <wps:txbx>
                        <w:txbxContent>
                          <w:p w14:paraId="779F8D6F">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kern w:val="2"/>
                                <w:sz w:val="36"/>
                                <w:szCs w:val="36"/>
                                <w:lang w:val="en-US" w:eastAsia="zh-CN" w:bidi="ar-SA"/>
                              </w:rPr>
                              <w:t>2025年12月</w:t>
                            </w:r>
                          </w:p>
                        </w:txbxContent>
                      </wps:txbx>
                      <wps:bodyPr wrap="square">
                        <a:spAutoFit/>
                      </wps:bodyPr>
                    </wps:wsp>
                  </a:graphicData>
                </a:graphic>
              </wp:anchor>
            </w:drawing>
          </mc:Choice>
          <mc:Fallback>
            <w:pict>
              <v:rect id="矩形 19" o:spid="_x0000_s1026" o:spt="1" style="position:absolute;left:0pt;margin-left:109.85pt;margin-top:600.15pt;height:38.4pt;width:201.4pt;z-index:251666432;mso-width-relative:page;mso-height-relative:page;" filled="f" stroked="f" coordsize="21600,21600" o:gfxdata="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hZfeXaAAAADQEAAA8A&#10;AAAAAAAAAQAgAAAAIgAAAGRycy9kb3ducmV2LnhtbFBLAQIUABQAAAAIAIdO4kAiXBIqowEAADwD&#10;AAAOAAAAAAAAAAEAIAAAACkBAABkcnMvZTJvRG9jLnhtbFBLBQYAAAAABgAGAFkBAAA+BQAAAAA=&#10;">
                <v:fill on="f" focussize="0,0"/>
                <v:stroke on="f"/>
                <v:imagedata o:title=""/>
                <o:lock v:ext="edit" aspectratio="f"/>
                <v:textbox style="mso-fit-shape-to-text:t;">
                  <w:txbxContent>
                    <w:p w14:paraId="779F8D6F">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kern w:val="2"/>
                          <w:sz w:val="36"/>
                          <w:szCs w:val="36"/>
                          <w:lang w:val="en-US" w:eastAsia="zh-CN" w:bidi="ar-SA"/>
                        </w:rPr>
                        <w:t>2025年12月</w:t>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-83820</wp:posOffset>
                </wp:positionH>
                <wp:positionV relativeFrom="paragraph">
                  <wp:posOffset>2319020</wp:posOffset>
                </wp:positionV>
                <wp:extent cx="5638800" cy="1280160"/>
                <wp:effectExtent l="0" t="0" r="0" b="0"/>
                <wp:wrapNone/>
                <wp:docPr id="29" name="矩形 13"/>
                <wp:cNvGraphicFramePr/>
                <a:graphic xmlns:a="http://schemas.openxmlformats.org/drawingml/2006/main">
                  <a:graphicData uri="http://schemas.microsoft.com/office/word/2010/wordprocessingShape">
                    <wps:wsp>
                      <wps:cNvSpPr/>
                      <wps:spPr>
                        <a:xfrm>
                          <a:off x="0" y="0"/>
                          <a:ext cx="5638800" cy="1280160"/>
                        </a:xfrm>
                        <a:prstGeom prst="rect">
                          <a:avLst/>
                        </a:prstGeom>
                      </wps:spPr>
                      <wps:txbx>
                        <w:txbxContent>
                          <w:p w14:paraId="67830B1B">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56"/>
                                <w:szCs w:val="56"/>
                                <w:lang w:val="en-US" w:eastAsia="zh-CN" w:bidi="ar-SA"/>
                              </w:rPr>
                            </w:pPr>
                            <w:r>
                              <w:rPr>
                                <w:rFonts w:hint="eastAsia" w:ascii="方正小标宋_GBK" w:hAnsi="方正小标宋_GBK" w:eastAsia="方正小标宋_GBK" w:cs="方正小标宋_GBK"/>
                                <w:b/>
                                <w:bCs/>
                                <w:kern w:val="2"/>
                                <w:sz w:val="52"/>
                                <w:szCs w:val="52"/>
                                <w:lang w:val="en-US" w:eastAsia="zh-CN" w:bidi="ar-SA"/>
                              </w:rPr>
                              <w:t>西安医药科技职业学校年度质量报告(2025）</w:t>
                            </w:r>
                          </w:p>
                          <w:p w14:paraId="17978059">
                            <w:pPr>
                              <w:pStyle w:val="19"/>
                              <w:keepNext w:val="0"/>
                              <w:keepLines w:val="0"/>
                              <w:pageBreakBefore w:val="0"/>
                              <w:widowControl w:val="0"/>
                              <w:kinsoku/>
                              <w:wordWrap/>
                              <w:overflowPunct/>
                              <w:topLinePunct w:val="0"/>
                              <w:autoSpaceDE/>
                              <w:autoSpaceDN/>
                              <w:bidi w:val="0"/>
                              <w:adjustRightInd/>
                              <w:snapToGrid/>
                              <w:spacing w:line="1120" w:lineRule="exact"/>
                              <w:ind w:left="0"/>
                              <w:jc w:val="right"/>
                              <w:textAlignment w:val="auto"/>
                              <w:rPr>
                                <w:rFonts w:hint="eastAsia" w:ascii="微软雅黑" w:hAnsi="微软雅黑" w:eastAsia="微软雅黑" w:cs="微软雅黑"/>
                                <w:color w:val="1EA3E4"/>
                                <w:sz w:val="110"/>
                                <w:szCs w:val="110"/>
                                <w:lang w:eastAsia="zh-CN"/>
                              </w:rPr>
                            </w:pPr>
                          </w:p>
                        </w:txbxContent>
                      </wps:txbx>
                      <wps:bodyPr wrap="square">
                        <a:spAutoFit/>
                      </wps:bodyPr>
                    </wps:wsp>
                  </a:graphicData>
                </a:graphic>
              </wp:anchor>
            </w:drawing>
          </mc:Choice>
          <mc:Fallback>
            <w:pict>
              <v:rect id="矩形 13" o:spid="_x0000_s1026" o:spt="1" style="position:absolute;left:0pt;margin-left:-6.6pt;margin-top:182.6pt;height:100.8pt;width:444pt;z-index:251667456;mso-width-relative:page;mso-height-relative:page;" filled="f" stroked="f" coordsize="21600,21600" o:gfxdata="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OvLn3bAAAACwEA&#10;AA8AAAAAAAAAAQAgAAAAIgAAAGRycy9kb3ducmV2LnhtbFBLAQIUABQAAAAIAIdO4kDs7m4gpQEA&#10;AD0DAAAOAAAAAAAAAAEAIAAAACoBAABkcnMvZTJvRG9jLnhtbFBLBQYAAAAABgAGAFkBAABBBQAA&#10;AAA=&#10;">
                <v:fill on="f" focussize="0,0"/>
                <v:stroke on="f"/>
                <v:imagedata o:title=""/>
                <o:lock v:ext="edit" aspectratio="f"/>
                <v:textbox style="mso-fit-shape-to-text:t;">
                  <w:txbxContent>
                    <w:p w14:paraId="67830B1B">
                      <w:pPr>
                        <w:spacing w:before="0" w:beforeLines="0" w:after="0" w:afterLines="0" w:line="240" w:lineRule="auto"/>
                        <w:ind w:left="0" w:leftChars="0" w:right="0" w:rightChars="0" w:firstLine="0" w:firstLineChars="0"/>
                        <w:jc w:val="center"/>
                        <w:rPr>
                          <w:rFonts w:hint="eastAsia" w:ascii="方正小标宋_GBK" w:hAnsi="方正小标宋_GBK" w:eastAsia="方正小标宋_GBK" w:cs="方正小标宋_GBK"/>
                          <w:kern w:val="2"/>
                          <w:sz w:val="56"/>
                          <w:szCs w:val="56"/>
                          <w:lang w:val="en-US" w:eastAsia="zh-CN" w:bidi="ar-SA"/>
                        </w:rPr>
                      </w:pPr>
                      <w:r>
                        <w:rPr>
                          <w:rFonts w:hint="eastAsia" w:ascii="方正小标宋_GBK" w:hAnsi="方正小标宋_GBK" w:eastAsia="方正小标宋_GBK" w:cs="方正小标宋_GBK"/>
                          <w:b/>
                          <w:bCs/>
                          <w:kern w:val="2"/>
                          <w:sz w:val="52"/>
                          <w:szCs w:val="52"/>
                          <w:lang w:val="en-US" w:eastAsia="zh-CN" w:bidi="ar-SA"/>
                        </w:rPr>
                        <w:t>西安医药科技职业学校年度质量报告(2025）</w:t>
                      </w:r>
                    </w:p>
                    <w:p w14:paraId="17978059">
                      <w:pPr>
                        <w:pStyle w:val="19"/>
                        <w:keepNext w:val="0"/>
                        <w:keepLines w:val="0"/>
                        <w:pageBreakBefore w:val="0"/>
                        <w:widowControl w:val="0"/>
                        <w:kinsoku/>
                        <w:wordWrap/>
                        <w:overflowPunct/>
                        <w:topLinePunct w:val="0"/>
                        <w:autoSpaceDE/>
                        <w:autoSpaceDN/>
                        <w:bidi w:val="0"/>
                        <w:adjustRightInd/>
                        <w:snapToGrid/>
                        <w:spacing w:line="1120" w:lineRule="exact"/>
                        <w:ind w:left="0"/>
                        <w:jc w:val="right"/>
                        <w:textAlignment w:val="auto"/>
                        <w:rPr>
                          <w:rFonts w:hint="eastAsia" w:ascii="微软雅黑" w:hAnsi="微软雅黑" w:eastAsia="微软雅黑" w:cs="微软雅黑"/>
                          <w:color w:val="1EA3E4"/>
                          <w:sz w:val="110"/>
                          <w:szCs w:val="110"/>
                          <w:lang w:eastAsia="zh-CN"/>
                        </w:rPr>
                      </w:pPr>
                    </w:p>
                  </w:txbxContent>
                </v:textbox>
              </v:rect>
            </w:pict>
          </mc:Fallback>
        </mc:AlternateContent>
      </w:r>
    </w:p>
    <w:p w14:paraId="3BA70E01">
      <w:pPr>
        <w:ind w:left="0" w:leftChars="0" w:firstLine="0" w:firstLineChars="0"/>
        <w:jc w:val="center"/>
        <w:rPr>
          <w:rFonts w:hint="eastAsia" w:ascii="方正小标宋简体" w:hAnsi="方正小标宋简体" w:eastAsia="方正小标宋简体" w:cs="方正小标宋简体"/>
          <w:sz w:val="48"/>
          <w:szCs w:val="56"/>
          <w:lang w:val="en-US" w:eastAsia="zh-CN"/>
        </w:rPr>
      </w:pPr>
      <w:r>
        <w:rPr>
          <w:rFonts w:hint="eastAsia" w:ascii="方正小标宋简体" w:hAnsi="方正小标宋简体" w:eastAsia="方正小标宋简体" w:cs="方正小标宋简体"/>
          <w:sz w:val="48"/>
          <w:szCs w:val="56"/>
          <w:lang w:val="en-US" w:eastAsia="zh-CN"/>
        </w:rPr>
        <w:t>年报公布情况</w:t>
      </w:r>
    </w:p>
    <w:p w14:paraId="1EFD6E6F">
      <w:pPr>
        <w:jc w:val="left"/>
        <w:rPr>
          <w:rFonts w:hint="eastAsia" w:ascii="黑体" w:hAnsi="黑体" w:eastAsia="黑体" w:cs="黑体"/>
          <w:sz w:val="32"/>
          <w:szCs w:val="40"/>
          <w:lang w:val="en-US" w:eastAsia="zh-CN"/>
        </w:rPr>
      </w:pPr>
    </w:p>
    <w:p w14:paraId="0E780715">
      <w:pPr>
        <w:jc w:val="left"/>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学校名称：西安医药科技职业学校</w:t>
      </w:r>
    </w:p>
    <w:p w14:paraId="1EC4FBBA">
      <w:pPr>
        <w:jc w:val="left"/>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公布形式：学校官网</w:t>
      </w:r>
    </w:p>
    <w:p w14:paraId="30DF36FF">
      <w:pPr>
        <w:jc w:val="left"/>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公布网址：http://www.xaykxx.com/index.php?m=home&amp;c=View&amp;a=index&amp;aid=855&amp;admin_id=1</w:t>
      </w:r>
    </w:p>
    <w:p w14:paraId="064D38DE">
      <w:pPr>
        <w:jc w:val="left"/>
        <w:rPr>
          <w:rFonts w:hint="eastAsia" w:ascii="黑体" w:hAnsi="黑体" w:eastAsia="黑体" w:cs="黑体"/>
          <w:sz w:val="32"/>
          <w:szCs w:val="40"/>
          <w:lang w:val="en-US" w:eastAsia="zh-CN"/>
        </w:rPr>
      </w:pPr>
    </w:p>
    <w:p w14:paraId="10B14299">
      <w:pPr>
        <w:jc w:val="center"/>
        <w:rPr>
          <w:rFonts w:hint="eastAsia" w:ascii="方正小标宋简体" w:hAnsi="方正小标宋简体" w:eastAsia="方正小标宋简体" w:cs="方正小标宋简体"/>
          <w:sz w:val="48"/>
          <w:szCs w:val="56"/>
          <w:lang w:val="en-US" w:eastAsia="zh-CN"/>
        </w:rPr>
      </w:pPr>
    </w:p>
    <w:p w14:paraId="12012244">
      <w:pPr>
        <w:jc w:val="center"/>
        <w:rPr>
          <w:rFonts w:hint="eastAsia" w:ascii="方正小标宋简体" w:hAnsi="方正小标宋简体" w:eastAsia="方正小标宋简体" w:cs="方正小标宋简体"/>
          <w:sz w:val="48"/>
          <w:szCs w:val="56"/>
          <w:lang w:val="en-US" w:eastAsia="zh-CN"/>
        </w:rPr>
      </w:pPr>
    </w:p>
    <w:p w14:paraId="5D179614">
      <w:pPr>
        <w:jc w:val="center"/>
        <w:rPr>
          <w:rFonts w:hint="eastAsia" w:ascii="方正小标宋简体" w:hAnsi="方正小标宋简体" w:eastAsia="方正小标宋简体" w:cs="方正小标宋简体"/>
          <w:sz w:val="48"/>
          <w:szCs w:val="56"/>
          <w:lang w:val="en-US" w:eastAsia="zh-CN"/>
        </w:rPr>
      </w:pPr>
    </w:p>
    <w:p w14:paraId="1E3072E8">
      <w:pPr>
        <w:jc w:val="center"/>
        <w:rPr>
          <w:rFonts w:hint="eastAsia" w:ascii="方正小标宋简体" w:hAnsi="方正小标宋简体" w:eastAsia="方正小标宋简体" w:cs="方正小标宋简体"/>
          <w:sz w:val="48"/>
          <w:szCs w:val="56"/>
          <w:lang w:val="en-US" w:eastAsia="zh-CN"/>
        </w:rPr>
      </w:pPr>
    </w:p>
    <w:p w14:paraId="24D38E73">
      <w:pPr>
        <w:jc w:val="center"/>
        <w:rPr>
          <w:rFonts w:hint="eastAsia" w:ascii="方正小标宋简体" w:hAnsi="方正小标宋简体" w:eastAsia="方正小标宋简体" w:cs="方正小标宋简体"/>
          <w:sz w:val="48"/>
          <w:szCs w:val="56"/>
          <w:lang w:val="en-US" w:eastAsia="zh-CN"/>
        </w:rPr>
      </w:pPr>
    </w:p>
    <w:p w14:paraId="13A1CA7D">
      <w:pPr>
        <w:jc w:val="center"/>
        <w:rPr>
          <w:rFonts w:hint="eastAsia" w:ascii="方正小标宋简体" w:hAnsi="方正小标宋简体" w:eastAsia="方正小标宋简体" w:cs="方正小标宋简体"/>
          <w:sz w:val="48"/>
          <w:szCs w:val="56"/>
          <w:lang w:val="en-US" w:eastAsia="zh-CN"/>
        </w:rPr>
      </w:pPr>
    </w:p>
    <w:p w14:paraId="58F20D38">
      <w:pPr>
        <w:jc w:val="center"/>
        <w:rPr>
          <w:rFonts w:hint="eastAsia" w:ascii="方正小标宋简体" w:hAnsi="方正小标宋简体" w:eastAsia="方正小标宋简体" w:cs="方正小标宋简体"/>
          <w:sz w:val="48"/>
          <w:szCs w:val="56"/>
          <w:lang w:val="en-US" w:eastAsia="zh-CN"/>
        </w:rPr>
      </w:pPr>
    </w:p>
    <w:p w14:paraId="4B92D793">
      <w:pPr>
        <w:jc w:val="both"/>
        <w:rPr>
          <w:rFonts w:hint="eastAsia" w:ascii="方正小标宋简体" w:hAnsi="方正小标宋简体" w:eastAsia="方正小标宋简体" w:cs="方正小标宋简体"/>
          <w:sz w:val="48"/>
          <w:szCs w:val="56"/>
          <w:lang w:val="en-US" w:eastAsia="zh-CN"/>
        </w:rPr>
      </w:pPr>
    </w:p>
    <w:p w14:paraId="52C58D6E">
      <w:pPr>
        <w:ind w:left="0" w:leftChars="0" w:firstLine="0" w:firstLineChars="0"/>
        <w:jc w:val="both"/>
        <w:rPr>
          <w:rFonts w:hint="eastAsia" w:ascii="黑体" w:hAnsi="黑体" w:eastAsia="黑体" w:cs="黑体"/>
          <w:sz w:val="28"/>
          <w:szCs w:val="36"/>
          <w:lang w:val="en-US" w:eastAsia="zh-CN"/>
        </w:rPr>
      </w:pPr>
      <w:r>
        <w:rPr>
          <w:rFonts w:hint="eastAsia" w:ascii="黑体" w:hAnsi="黑体" w:eastAsia="黑体" w:cs="黑体"/>
          <w:sz w:val="28"/>
          <w:szCs w:val="36"/>
          <w:lang w:val="en-US" w:eastAsia="zh-CN"/>
        </w:rPr>
        <w:drawing>
          <wp:anchor distT="0" distB="0" distL="114300" distR="114300" simplePos="0" relativeHeight="251680768" behindDoc="1" locked="0" layoutInCell="1" allowOverlap="1">
            <wp:simplePos x="0" y="0"/>
            <wp:positionH relativeFrom="column">
              <wp:posOffset>-238125</wp:posOffset>
            </wp:positionH>
            <wp:positionV relativeFrom="paragraph">
              <wp:posOffset>19050</wp:posOffset>
            </wp:positionV>
            <wp:extent cx="6243320" cy="5748020"/>
            <wp:effectExtent l="0" t="0" r="5080" b="5080"/>
            <wp:wrapThrough wrapText="bothSides">
              <wp:wrapPolygon>
                <wp:start x="0" y="0"/>
                <wp:lineTo x="0" y="21548"/>
                <wp:lineTo x="21552" y="21548"/>
                <wp:lineTo x="21552" y="0"/>
                <wp:lineTo x="0" y="0"/>
              </wp:wrapPolygon>
            </wp:wrapThrough>
            <wp:docPr id="7" name="图片 7" descr="内容真实性责任声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内容真实性责任声明_01"/>
                    <pic:cNvPicPr>
                      <a:picLocks noChangeAspect="1"/>
                    </pic:cNvPicPr>
                  </pic:nvPicPr>
                  <pic:blipFill>
                    <a:blip r:embed="rId13"/>
                    <a:srcRect l="13206" t="8839" r="10130" b="36616"/>
                    <a:stretch>
                      <a:fillRect/>
                    </a:stretch>
                  </pic:blipFill>
                  <pic:spPr>
                    <a:xfrm>
                      <a:off x="0" y="0"/>
                      <a:ext cx="6243320" cy="5748020"/>
                    </a:xfrm>
                    <a:prstGeom prst="rect">
                      <a:avLst/>
                    </a:prstGeom>
                  </pic:spPr>
                </pic:pic>
              </a:graphicData>
            </a:graphic>
          </wp:anchor>
        </w:drawing>
      </w:r>
    </w:p>
    <w:p w14:paraId="081DBFAD">
      <w:pPr>
        <w:ind w:left="0" w:leftChars="0" w:firstLine="0" w:firstLineChars="0"/>
        <w:jc w:val="both"/>
        <w:rPr>
          <w:rFonts w:hint="eastAsia" w:ascii="黑体" w:hAnsi="黑体" w:eastAsia="黑体" w:cs="黑体"/>
          <w:sz w:val="28"/>
          <w:szCs w:val="36"/>
          <w:lang w:val="en-US" w:eastAsia="zh-CN"/>
        </w:rPr>
      </w:pPr>
    </w:p>
    <w:p w14:paraId="56673C1D">
      <w:pPr>
        <w:ind w:left="0" w:leftChars="0" w:firstLine="0" w:firstLineChars="0"/>
        <w:jc w:val="both"/>
        <w:rPr>
          <w:rFonts w:hint="eastAsia" w:ascii="黑体" w:hAnsi="黑体" w:eastAsia="黑体" w:cs="黑体"/>
          <w:sz w:val="28"/>
          <w:szCs w:val="36"/>
          <w:lang w:val="en-US" w:eastAsia="zh-CN"/>
        </w:rPr>
      </w:pPr>
    </w:p>
    <w:p w14:paraId="5C0720C6">
      <w:pPr>
        <w:ind w:left="0" w:leftChars="0" w:firstLine="0" w:firstLineChars="0"/>
        <w:jc w:val="both"/>
        <w:rPr>
          <w:rFonts w:hint="eastAsia" w:ascii="黑体" w:hAnsi="黑体" w:eastAsia="黑体" w:cs="黑体"/>
          <w:sz w:val="28"/>
          <w:szCs w:val="36"/>
          <w:lang w:val="en-US" w:eastAsia="zh-CN"/>
        </w:rPr>
      </w:pPr>
    </w:p>
    <w:p w14:paraId="72C1A753">
      <w:pPr>
        <w:keepNext w:val="0"/>
        <w:keepLines w:val="0"/>
        <w:pageBreakBefore w:val="0"/>
        <w:widowControl w:val="0"/>
        <w:kinsoku/>
        <w:wordWrap/>
        <w:overflowPunct/>
        <w:topLinePunct w:val="0"/>
        <w:autoSpaceDE/>
        <w:autoSpaceDN/>
        <w:bidi w:val="0"/>
        <w:ind w:left="0" w:leftChars="0" w:firstLine="0" w:firstLineChars="0"/>
        <w:jc w:val="both"/>
        <w:textAlignment w:val="auto"/>
        <w:rPr>
          <w:rFonts w:hint="eastAsia" w:ascii="黑体" w:hAnsi="黑体" w:eastAsia="黑体" w:cs="黑体"/>
          <w:spacing w:val="-2"/>
          <w:sz w:val="32"/>
          <w:szCs w:val="32"/>
          <w:lang w:eastAsia="zh-CN"/>
        </w:rPr>
      </w:pPr>
    </w:p>
    <w:p w14:paraId="2B9DAACD">
      <w:pPr>
        <w:keepNext w:val="0"/>
        <w:keepLines w:val="0"/>
        <w:pageBreakBefore w:val="0"/>
        <w:widowControl w:val="0"/>
        <w:kinsoku/>
        <w:wordWrap/>
        <w:overflowPunct/>
        <w:topLinePunct w:val="0"/>
        <w:autoSpaceDE/>
        <w:autoSpaceDN/>
        <w:bidi w:val="0"/>
        <w:ind w:left="0" w:leftChars="0" w:firstLine="0" w:firstLineChars="0"/>
        <w:jc w:val="center"/>
        <w:textAlignment w:val="auto"/>
        <w:rPr>
          <w:rFonts w:hint="eastAsia" w:ascii="黑体" w:hAnsi="黑体" w:eastAsia="黑体" w:cs="黑体"/>
          <w:spacing w:val="-2"/>
          <w:sz w:val="32"/>
          <w:szCs w:val="32"/>
          <w:lang w:eastAsia="zh-CN"/>
        </w:rPr>
      </w:pPr>
      <w:r>
        <w:rPr>
          <w:rFonts w:hint="eastAsia" w:ascii="黑体" w:hAnsi="黑体" w:eastAsia="黑体" w:cs="黑体"/>
          <w:spacing w:val="-2"/>
          <w:sz w:val="32"/>
          <w:szCs w:val="32"/>
          <w:lang w:eastAsia="zh-CN"/>
        </w:rPr>
        <w:t>前言</w:t>
      </w:r>
    </w:p>
    <w:p w14:paraId="19059580">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Times New Roman" w:eastAsia="FangSong_GB2312" w:cs="Times New Roman"/>
          <w:spacing w:val="-2"/>
          <w:sz w:val="32"/>
          <w:szCs w:val="32"/>
          <w:lang w:eastAsia="zh-CN"/>
        </w:rPr>
      </w:pPr>
      <w:r>
        <w:rPr>
          <w:rFonts w:hint="eastAsia" w:ascii="Times New Roman" w:eastAsia="FangSong_GB2312" w:cs="Times New Roman"/>
          <w:spacing w:val="-2"/>
          <w:sz w:val="32"/>
          <w:szCs w:val="32"/>
          <w:lang w:eastAsia="zh-CN"/>
        </w:rPr>
        <w:t>为全面贯彻国家职业教育高质量发展战略要求，落实立德树人根本任务，切实履行办学质量主体责任，客观展现学校年度办学成效，</w:t>
      </w:r>
      <w:r>
        <w:rPr>
          <w:rFonts w:hint="eastAsia" w:eastAsia="FangSong_GB2312" w:cs="Times New Roman"/>
          <w:spacing w:val="-2"/>
          <w:sz w:val="32"/>
          <w:szCs w:val="32"/>
          <w:lang w:eastAsia="zh-CN"/>
        </w:rPr>
        <w:t>学校</w:t>
      </w:r>
      <w:r>
        <w:rPr>
          <w:rFonts w:hint="eastAsia" w:ascii="Times New Roman" w:eastAsia="FangSong_GB2312" w:cs="Times New Roman"/>
          <w:spacing w:val="-2"/>
          <w:sz w:val="32"/>
          <w:szCs w:val="32"/>
          <w:lang w:eastAsia="zh-CN"/>
        </w:rPr>
        <w:t>严格遵循质量年报编制相关规范，通过全面自查、数据核查、多方调研、汇总梳理等规范程序，系统梳理办学条件、人才培养、师资建设、专业发展、校企合作等核心工作。本年度，学校聚焦内涵提质、技能赋能，在党建引领育人、特色专业建设、实训能力提升、学生素养培育等方面成效凸显，亮点鲜明。为精准查摆短板、明确改进方向，接受社会各界监督与指导，助力学校高质量可持续发展，特编制本质量年报，全面呈现学校办学质量建设全貌。</w:t>
      </w:r>
    </w:p>
    <w:p w14:paraId="5D1142B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ascii="Times New Roman" w:eastAsia="FangSong_GB2312" w:cs="Times New Roman"/>
          <w:spacing w:val="-2"/>
          <w:sz w:val="32"/>
          <w:szCs w:val="32"/>
          <w:lang w:eastAsia="zh-CN"/>
        </w:rPr>
        <w:t>西安医药科技职业学校成立于1997年，是西安市教育局批准的重点职业学校，位于西安市鄠邑</w:t>
      </w:r>
      <w:r>
        <w:rPr>
          <w:rFonts w:hint="eastAsia" w:eastAsia="FangSong_GB2312" w:cs="Times New Roman"/>
          <w:spacing w:val="-2"/>
          <w:sz w:val="32"/>
          <w:szCs w:val="32"/>
          <w:lang w:eastAsia="zh-CN"/>
        </w:rPr>
        <w:t>区</w:t>
      </w:r>
      <w:r>
        <w:rPr>
          <w:rFonts w:hint="eastAsia" w:ascii="Times New Roman" w:eastAsia="FangSong_GB2312" w:cs="Times New Roman"/>
          <w:spacing w:val="-2"/>
          <w:sz w:val="32"/>
          <w:szCs w:val="32"/>
          <w:lang w:eastAsia="zh-CN"/>
        </w:rPr>
        <w:t>大学南路3号。学校自主办学，独立招生，办学条件安全稳定</w:t>
      </w:r>
      <w:r>
        <w:rPr>
          <w:rFonts w:hint="eastAsia" w:ascii="Times New Roman" w:eastAsia="FangSong_GB2312" w:cs="Times New Roman"/>
          <w:spacing w:val="-2"/>
          <w:sz w:val="32"/>
          <w:szCs w:val="32"/>
          <w:lang w:val="en-US" w:eastAsia="zh-CN"/>
        </w:rPr>
        <w:t>。办学2</w:t>
      </w:r>
      <w:r>
        <w:rPr>
          <w:rFonts w:hint="eastAsia" w:eastAsia="FangSong_GB2312" w:cs="Times New Roman"/>
          <w:spacing w:val="-2"/>
          <w:sz w:val="32"/>
          <w:szCs w:val="32"/>
          <w:lang w:val="en-US" w:eastAsia="zh-CN"/>
        </w:rPr>
        <w:t>8</w:t>
      </w:r>
      <w:r>
        <w:rPr>
          <w:rFonts w:hint="eastAsia" w:ascii="Times New Roman" w:eastAsia="FangSong_GB2312" w:cs="Times New Roman"/>
          <w:spacing w:val="-2"/>
          <w:sz w:val="32"/>
          <w:szCs w:val="32"/>
          <w:lang w:val="en-US" w:eastAsia="zh-CN"/>
        </w:rPr>
        <w:t>年，师资雄厚，校风严谨，理念先进，毕业生4万余人。实行个性化教学</w:t>
      </w:r>
      <w:r>
        <w:rPr>
          <w:rFonts w:hint="eastAsia" w:eastAsia="FangSong_GB2312" w:cs="Times New Roman"/>
          <w:spacing w:val="-2"/>
          <w:sz w:val="32"/>
          <w:szCs w:val="32"/>
          <w:lang w:val="en-US" w:eastAsia="zh-CN"/>
        </w:rPr>
        <w:t>和</w:t>
      </w:r>
      <w:r>
        <w:rPr>
          <w:rFonts w:hint="eastAsia" w:ascii="Times New Roman" w:eastAsia="FangSong_GB2312" w:cs="Times New Roman"/>
          <w:spacing w:val="-2"/>
          <w:sz w:val="32"/>
          <w:szCs w:val="32"/>
          <w:lang w:val="en-US" w:eastAsia="zh-CN"/>
        </w:rPr>
        <w:t>寄宿制封闭管理，基础设施完备，后勤服务完善。</w:t>
      </w:r>
      <w:r>
        <w:rPr>
          <w:rFonts w:hint="eastAsia" w:eastAsia="FangSong_GB2312" w:cs="Times New Roman"/>
          <w:spacing w:val="-2"/>
          <w:sz w:val="32"/>
          <w:szCs w:val="32"/>
          <w:lang w:val="en-US" w:eastAsia="zh-CN"/>
        </w:rPr>
        <w:t>学校以就业为导向，深化产教融合、校企合作，构建“学历+技能+素质”人才培养模式。</w:t>
      </w:r>
      <w:r>
        <w:rPr>
          <w:rFonts w:hint="eastAsia" w:ascii="Times New Roman" w:eastAsia="FangSong_GB2312" w:cs="Times New Roman"/>
          <w:spacing w:val="-2"/>
          <w:sz w:val="32"/>
          <w:szCs w:val="32"/>
          <w:lang w:val="en-US" w:eastAsia="zh-CN"/>
        </w:rPr>
        <w:t>依托医药产业，服务国家战略，</w:t>
      </w:r>
      <w:r>
        <w:rPr>
          <w:rFonts w:hint="eastAsia" w:eastAsia="FangSong_GB2312" w:cs="Times New Roman"/>
          <w:spacing w:val="-2"/>
          <w:sz w:val="32"/>
          <w:szCs w:val="32"/>
          <w:lang w:val="en-US" w:eastAsia="zh-CN"/>
        </w:rPr>
        <w:t>立德树人</w:t>
      </w:r>
      <w:r>
        <w:rPr>
          <w:rFonts w:hint="eastAsia" w:ascii="Times New Roman" w:eastAsia="FangSong_GB2312" w:cs="Times New Roman"/>
          <w:spacing w:val="-2"/>
          <w:sz w:val="32"/>
          <w:szCs w:val="32"/>
          <w:lang w:val="en-US" w:eastAsia="zh-CN"/>
        </w:rPr>
        <w:t>，创新教育，融合健康产业，培养医疗、药学、中医、康复</w:t>
      </w:r>
      <w:r>
        <w:rPr>
          <w:rFonts w:hint="eastAsia" w:eastAsia="FangSong_GB2312" w:cs="Times New Roman"/>
          <w:spacing w:val="-2"/>
          <w:sz w:val="32"/>
          <w:szCs w:val="32"/>
          <w:lang w:val="en-US" w:eastAsia="zh-CN"/>
        </w:rPr>
        <w:t>、口腔</w:t>
      </w:r>
      <w:r>
        <w:rPr>
          <w:rFonts w:hint="eastAsia" w:ascii="Times New Roman" w:eastAsia="FangSong_GB2312" w:cs="Times New Roman"/>
          <w:spacing w:val="-2"/>
          <w:sz w:val="32"/>
          <w:szCs w:val="32"/>
          <w:lang w:val="en-US" w:eastAsia="zh-CN"/>
        </w:rPr>
        <w:t>等专业人才。开设药剂（市级重点、省级示范）、中医康复技术、中医</w:t>
      </w:r>
      <w:r>
        <w:rPr>
          <w:rFonts w:hint="eastAsia" w:ascii="Times New Roman" w:eastAsia="FangSong_GB2312" w:cs="Times New Roman"/>
          <w:color w:val="auto"/>
          <w:spacing w:val="-2"/>
          <w:sz w:val="32"/>
          <w:szCs w:val="32"/>
          <w:lang w:val="en-US" w:eastAsia="zh-CN"/>
        </w:rPr>
        <w:t>养生</w:t>
      </w:r>
      <w:r>
        <w:rPr>
          <w:rFonts w:hint="eastAsia" w:ascii="Times New Roman" w:eastAsia="FangSong_GB2312" w:cs="Times New Roman"/>
          <w:spacing w:val="-2"/>
          <w:sz w:val="32"/>
          <w:szCs w:val="32"/>
          <w:lang w:val="en-US" w:eastAsia="zh-CN"/>
        </w:rPr>
        <w:t>保健、口腔修复工艺等特色专业。培养管理型、</w:t>
      </w:r>
      <w:r>
        <w:rPr>
          <w:rFonts w:hint="eastAsia" w:eastAsia="FangSong_GB2312" w:cs="Times New Roman"/>
          <w:spacing w:val="-2"/>
          <w:sz w:val="32"/>
          <w:szCs w:val="32"/>
          <w:lang w:val="en-US" w:eastAsia="zh-CN"/>
        </w:rPr>
        <w:t>技能型</w:t>
      </w:r>
      <w:r>
        <w:rPr>
          <w:rFonts w:hint="eastAsia" w:ascii="Times New Roman" w:eastAsia="FangSong_GB2312" w:cs="Times New Roman"/>
          <w:spacing w:val="-2"/>
          <w:sz w:val="32"/>
          <w:szCs w:val="32"/>
          <w:lang w:val="en-US" w:eastAsia="zh-CN"/>
        </w:rPr>
        <w:t>人才，与40多家企业共建实习基地，输送数万人才，就业好评。</w:t>
      </w:r>
    </w:p>
    <w:p w14:paraId="5CB8036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ascii="Times New Roman" w:eastAsia="FangSong_GB2312" w:cs="Times New Roman"/>
          <w:spacing w:val="-2"/>
          <w:sz w:val="32"/>
          <w:szCs w:val="32"/>
          <w:lang w:val="en-US" w:eastAsia="zh-CN"/>
        </w:rPr>
      </w:pPr>
      <w:r>
        <w:rPr>
          <w:rFonts w:hint="eastAsia" w:ascii="Times New Roman" w:eastAsia="FangSong_GB2312" w:cs="Times New Roman"/>
          <w:spacing w:val="-2"/>
          <w:sz w:val="32"/>
          <w:szCs w:val="32"/>
          <w:lang w:val="en-US" w:eastAsia="zh-CN"/>
        </w:rPr>
        <w:t>建校以来，学校在社会上产生了积极影响，拥有良好的声誉，先后荣获西安市文化保卫工作“先进集体”、西安市捐资助学“先进学校”、教育系统“优秀单位”、职业学校招生工作“先进单位”、西安市</w:t>
      </w:r>
      <w:r>
        <w:rPr>
          <w:rFonts w:hint="eastAsia" w:eastAsia="FangSong_GB2312" w:cs="Times New Roman"/>
          <w:spacing w:val="-2"/>
          <w:sz w:val="32"/>
          <w:szCs w:val="32"/>
          <w:lang w:val="en-US" w:eastAsia="zh-CN"/>
        </w:rPr>
        <w:t>卫生健康委员会和</w:t>
      </w:r>
      <w:r>
        <w:rPr>
          <w:rFonts w:hint="eastAsia" w:ascii="Times New Roman" w:eastAsia="FangSong_GB2312" w:cs="Times New Roman"/>
          <w:spacing w:val="-2"/>
          <w:sz w:val="32"/>
          <w:szCs w:val="32"/>
          <w:lang w:val="en-US" w:eastAsia="zh-CN"/>
        </w:rPr>
        <w:t>红十字会团体献血“先进单位”、扶风县人民政府授予</w:t>
      </w:r>
      <w:r>
        <w:rPr>
          <w:rFonts w:hint="eastAsia" w:eastAsia="FangSong_GB2312" w:cs="Times New Roman"/>
          <w:spacing w:val="-2"/>
          <w:sz w:val="32"/>
          <w:szCs w:val="32"/>
          <w:lang w:val="en-US" w:eastAsia="zh-CN"/>
        </w:rPr>
        <w:t>的</w:t>
      </w:r>
      <w:r>
        <w:rPr>
          <w:rFonts w:hint="eastAsia" w:ascii="Times New Roman" w:eastAsia="FangSong_GB2312" w:cs="Times New Roman"/>
          <w:spacing w:val="-2"/>
          <w:sz w:val="32"/>
          <w:szCs w:val="32"/>
          <w:lang w:val="en-US" w:eastAsia="zh-CN"/>
        </w:rPr>
        <w:t>“博爱奉献奖”、3A级社会组织、“三星级”党支部等荣誉；学校</w:t>
      </w:r>
      <w:r>
        <w:rPr>
          <w:rFonts w:hint="eastAsia" w:eastAsia="FangSong_GB2312" w:cs="Times New Roman"/>
          <w:spacing w:val="-2"/>
          <w:sz w:val="32"/>
          <w:szCs w:val="32"/>
          <w:lang w:val="en-US" w:eastAsia="zh-CN"/>
        </w:rPr>
        <w:t>的</w:t>
      </w:r>
      <w:r>
        <w:rPr>
          <w:rFonts w:hint="eastAsia" w:ascii="Times New Roman" w:eastAsia="FangSong_GB2312" w:cs="Times New Roman"/>
          <w:spacing w:val="-2"/>
          <w:sz w:val="32"/>
          <w:szCs w:val="32"/>
          <w:lang w:val="en-US" w:eastAsia="zh-CN"/>
        </w:rPr>
        <w:t>“药剂专业”获批陕西省高水平示范</w:t>
      </w:r>
      <w:r>
        <w:rPr>
          <w:rFonts w:hint="eastAsia" w:eastAsia="FangSong_GB2312" w:cs="Times New Roman"/>
          <w:spacing w:val="-2"/>
          <w:sz w:val="32"/>
          <w:szCs w:val="32"/>
          <w:lang w:val="en-US" w:eastAsia="zh-CN"/>
        </w:rPr>
        <w:t>建设</w:t>
      </w:r>
      <w:r>
        <w:rPr>
          <w:rFonts w:hint="eastAsia" w:ascii="Times New Roman" w:eastAsia="FangSong_GB2312" w:cs="Times New Roman"/>
          <w:spacing w:val="-2"/>
          <w:sz w:val="32"/>
          <w:szCs w:val="32"/>
          <w:lang w:val="en-US" w:eastAsia="zh-CN"/>
        </w:rPr>
        <w:t>专业，学校还获得了陕</w:t>
      </w:r>
      <w:r>
        <w:rPr>
          <w:rFonts w:hint="eastAsia" w:eastAsia="FangSong_GB2312" w:cs="Times New Roman"/>
          <w:spacing w:val="-2"/>
          <w:sz w:val="32"/>
          <w:szCs w:val="32"/>
          <w:lang w:val="en-US" w:eastAsia="zh-CN"/>
        </w:rPr>
        <w:t>西省</w:t>
      </w:r>
      <w:r>
        <w:rPr>
          <w:rFonts w:hint="eastAsia" w:ascii="Times New Roman" w:eastAsia="FangSong_GB2312" w:cs="Times New Roman"/>
          <w:spacing w:val="-2"/>
          <w:sz w:val="32"/>
          <w:szCs w:val="32"/>
          <w:lang w:val="en-US" w:eastAsia="zh-CN"/>
        </w:rPr>
        <w:t>特色职业院校、西安市职业教育与成人教育协会“先进集体”</w:t>
      </w:r>
      <w:r>
        <w:rPr>
          <w:rFonts w:hint="eastAsia" w:eastAsia="FangSong_GB2312" w:cs="Times New Roman"/>
          <w:spacing w:val="-2"/>
          <w:sz w:val="32"/>
          <w:szCs w:val="32"/>
          <w:lang w:val="en-US" w:eastAsia="zh-CN"/>
        </w:rPr>
        <w:t>、</w:t>
      </w:r>
      <w:r>
        <w:rPr>
          <w:rFonts w:hint="eastAsia" w:ascii="Times New Roman" w:eastAsia="FangSong_GB2312" w:cs="Times New Roman"/>
          <w:spacing w:val="-2"/>
          <w:sz w:val="32"/>
          <w:szCs w:val="32"/>
          <w:lang w:val="en-US" w:eastAsia="zh-CN"/>
        </w:rPr>
        <w:t>职普融通工作先进单位</w:t>
      </w:r>
      <w:r>
        <w:rPr>
          <w:rFonts w:hint="eastAsia" w:eastAsia="FangSong_GB2312" w:cs="Times New Roman"/>
          <w:spacing w:val="-2"/>
          <w:sz w:val="32"/>
          <w:szCs w:val="32"/>
          <w:lang w:val="en-US" w:eastAsia="zh-CN"/>
        </w:rPr>
        <w:t>、西安市特色劳务品牌“鄠邑康养师”引领单位</w:t>
      </w:r>
      <w:r>
        <w:rPr>
          <w:rFonts w:hint="eastAsia" w:ascii="Times New Roman" w:eastAsia="FangSong_GB2312" w:cs="Times New Roman"/>
          <w:spacing w:val="-2"/>
          <w:sz w:val="32"/>
          <w:szCs w:val="32"/>
          <w:lang w:val="en-US" w:eastAsia="zh-CN"/>
        </w:rPr>
        <w:t>等</w:t>
      </w:r>
      <w:r>
        <w:rPr>
          <w:rFonts w:hint="eastAsia" w:eastAsia="FangSong_GB2312" w:cs="Times New Roman"/>
          <w:spacing w:val="-2"/>
          <w:sz w:val="32"/>
          <w:szCs w:val="32"/>
          <w:lang w:val="en-US" w:eastAsia="zh-CN"/>
        </w:rPr>
        <w:t>荣誉</w:t>
      </w:r>
      <w:r>
        <w:rPr>
          <w:rFonts w:hint="eastAsia" w:ascii="Times New Roman" w:eastAsia="FangSong_GB2312" w:cs="Times New Roman"/>
          <w:spacing w:val="-2"/>
          <w:sz w:val="32"/>
          <w:szCs w:val="32"/>
          <w:lang w:val="en-US" w:eastAsia="zh-CN"/>
        </w:rPr>
        <w:t>；</w:t>
      </w:r>
      <w:r>
        <w:rPr>
          <w:rFonts w:hint="eastAsia" w:eastAsia="FangSong_GB2312" w:cs="Times New Roman"/>
          <w:spacing w:val="-2"/>
          <w:sz w:val="32"/>
          <w:szCs w:val="32"/>
          <w:lang w:val="en-US" w:eastAsia="zh-CN"/>
        </w:rPr>
        <w:t>此外，学校还是</w:t>
      </w:r>
      <w:r>
        <w:rPr>
          <w:rFonts w:hint="eastAsia" w:ascii="Times New Roman" w:eastAsia="FangSong_GB2312" w:cs="Times New Roman"/>
          <w:spacing w:val="-2"/>
          <w:sz w:val="32"/>
          <w:szCs w:val="32"/>
          <w:lang w:val="en-US" w:eastAsia="zh-CN"/>
        </w:rPr>
        <w:t>国家第二批1</w:t>
      </w:r>
      <w:r>
        <w:rPr>
          <w:rFonts w:hint="eastAsia" w:eastAsia="FangSong_GB2312" w:cs="Times New Roman"/>
          <w:spacing w:val="-2"/>
          <w:sz w:val="32"/>
          <w:szCs w:val="32"/>
          <w:lang w:val="en-US" w:eastAsia="zh-CN"/>
        </w:rPr>
        <w:t xml:space="preserve"> </w:t>
      </w:r>
      <w:r>
        <w:rPr>
          <w:rFonts w:hint="eastAsia" w:ascii="Times New Roman" w:eastAsia="FangSong_GB2312" w:cs="Times New Roman"/>
          <w:spacing w:val="-2"/>
          <w:sz w:val="32"/>
          <w:szCs w:val="32"/>
          <w:lang w:val="en-US" w:eastAsia="zh-CN"/>
        </w:rPr>
        <w:t>+</w:t>
      </w:r>
      <w:r>
        <w:rPr>
          <w:rFonts w:hint="eastAsia" w:eastAsia="FangSong_GB2312" w:cs="Times New Roman"/>
          <w:spacing w:val="-2"/>
          <w:sz w:val="32"/>
          <w:szCs w:val="32"/>
          <w:lang w:val="en-US" w:eastAsia="zh-CN"/>
        </w:rPr>
        <w:t xml:space="preserve"> </w:t>
      </w:r>
      <w:r>
        <w:rPr>
          <w:rFonts w:hint="eastAsia" w:ascii="Times New Roman" w:eastAsia="FangSong_GB2312" w:cs="Times New Roman"/>
          <w:spacing w:val="-2"/>
          <w:sz w:val="32"/>
          <w:szCs w:val="32"/>
          <w:lang w:val="en-US" w:eastAsia="zh-CN"/>
        </w:rPr>
        <w:t>X证书试点单位、中国农村</w:t>
      </w:r>
      <w:r>
        <w:rPr>
          <w:rFonts w:hint="eastAsia" w:eastAsia="FangSong_GB2312" w:cs="Times New Roman"/>
          <w:spacing w:val="-2"/>
          <w:sz w:val="32"/>
          <w:szCs w:val="32"/>
          <w:lang w:val="en-US" w:eastAsia="zh-CN"/>
        </w:rPr>
        <w:t>卫生</w:t>
      </w:r>
      <w:r>
        <w:rPr>
          <w:rFonts w:hint="eastAsia" w:ascii="Times New Roman" w:eastAsia="FangSong_GB2312" w:cs="Times New Roman"/>
          <w:spacing w:val="-2"/>
          <w:sz w:val="32"/>
          <w:szCs w:val="32"/>
          <w:lang w:val="en-US" w:eastAsia="zh-CN"/>
        </w:rPr>
        <w:t>协会</w:t>
      </w:r>
      <w:r>
        <w:rPr>
          <w:rFonts w:hint="eastAsia" w:eastAsia="FangSong_GB2312" w:cs="Times New Roman"/>
          <w:spacing w:val="-2"/>
          <w:sz w:val="32"/>
          <w:szCs w:val="32"/>
          <w:lang w:val="en-US" w:eastAsia="zh-CN"/>
        </w:rPr>
        <w:t>医学教育委员会</w:t>
      </w:r>
      <w:r>
        <w:rPr>
          <w:rFonts w:hint="eastAsia" w:ascii="Times New Roman" w:eastAsia="FangSong_GB2312" w:cs="Times New Roman"/>
          <w:spacing w:val="-2"/>
          <w:sz w:val="32"/>
          <w:szCs w:val="32"/>
          <w:lang w:val="en-US" w:eastAsia="zh-CN"/>
        </w:rPr>
        <w:t>医药人才培养基地。</w:t>
      </w:r>
    </w:p>
    <w:p w14:paraId="41D01BD3">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eastAsia="FangSong_GB2312" w:cs="Times New Roman"/>
          <w:spacing w:val="-2"/>
          <w:sz w:val="32"/>
          <w:szCs w:val="32"/>
          <w:lang w:val="en-US" w:eastAsia="zh-CN"/>
        </w:rPr>
      </w:pPr>
      <w:r>
        <w:rPr>
          <w:rFonts w:hint="eastAsia" w:eastAsia="FangSong_GB2312" w:cs="Times New Roman"/>
          <w:spacing w:val="-2"/>
          <w:sz w:val="32"/>
          <w:szCs w:val="32"/>
          <w:lang w:val="en-US" w:eastAsia="zh-CN"/>
        </w:rPr>
        <w:t>1.</w:t>
      </w:r>
      <w:r>
        <w:rPr>
          <w:rFonts w:hint="eastAsia" w:eastAsia="FangSong_GB2312" w:cs="Times New Roman"/>
          <w:spacing w:val="-2"/>
          <w:sz w:val="32"/>
          <w:szCs w:val="32"/>
          <w:lang w:eastAsia="zh-CN"/>
        </w:rPr>
        <w:t>学校始终将党建引领育人作为办学治校的根本遵循，以“三星级党支部”建设为重要载体，把红色基因深度融入课堂教学、校园文化浸润与教师队伍建设全过程。</w:t>
      </w:r>
      <w:r>
        <w:rPr>
          <w:rFonts w:hint="eastAsia" w:eastAsia="FangSong_GB2312" w:cs="Times New Roman"/>
          <w:spacing w:val="-2"/>
          <w:sz w:val="32"/>
          <w:szCs w:val="32"/>
          <w:lang w:val="en-US" w:eastAsia="zh-CN"/>
        </w:rPr>
        <w:t>2025年，学校积极组织师生走进红色基地开展研学活动，引导师生牢固树立正确的世界观、人生观、价值观，为育人工作筑牢坚实的思想根基。</w:t>
      </w:r>
    </w:p>
    <w:p w14:paraId="60E30488">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eastAsia="仿宋_GB2312"/>
          <w:lang w:eastAsia="zh-CN"/>
        </w:rPr>
      </w:pPr>
      <w:r>
        <w:rPr>
          <w:rFonts w:hint="eastAsia" w:eastAsia="FangSong_GB2312" w:cs="Times New Roman"/>
          <w:spacing w:val="-2"/>
          <w:sz w:val="32"/>
          <w:szCs w:val="32"/>
          <w:lang w:val="en-US" w:eastAsia="zh-CN"/>
        </w:rPr>
        <w:t>2.</w:t>
      </w:r>
      <w:r>
        <w:rPr>
          <w:rFonts w:hint="eastAsia" w:eastAsia="FangSong_GB2312" w:cs="Times New Roman"/>
          <w:spacing w:val="-2"/>
          <w:sz w:val="32"/>
          <w:szCs w:val="32"/>
          <w:lang w:eastAsia="zh-CN"/>
        </w:rPr>
        <w:t>特色专业建设精准对接区域产业发展需求，联动打造“鄠邑康养师”特色劳务品牌专业，构建起“优势专业引领、特色专业互补”的专业体系格局。2025年11月5日，由西安市鄠邑区人力资源和社会保障局主办的“鄠邑区2025送岗到家门·就业暖人心招聘会”顺利举行。作为市级劳务品牌“鄠邑康养师”的引领单位，学校积极响应号召，组织学生参与活动，并专门设立公益义诊服务区，将专业康复服务直接送到群众家门口。</w:t>
      </w:r>
    </w:p>
    <w:p w14:paraId="644AEA3D">
      <w:pPr>
        <w:keepNext w:val="0"/>
        <w:keepLines w:val="0"/>
        <w:widowControl/>
        <w:suppressLineNumbers w:val="0"/>
        <w:jc w:val="left"/>
        <w:rPr>
          <w:rFonts w:hint="eastAsia" w:eastAsia="仿宋_GB2312"/>
          <w:lang w:eastAsia="zh-CN"/>
        </w:rPr>
      </w:pPr>
      <w:r>
        <w:rPr>
          <w:rFonts w:hint="eastAsia" w:eastAsia="FangSong_GB2312" w:cs="Times New Roman"/>
          <w:spacing w:val="-2"/>
          <w:sz w:val="32"/>
          <w:szCs w:val="32"/>
          <w:lang w:val="en-US" w:eastAsia="zh-CN"/>
        </w:rPr>
        <w:t>3.实训能力提升紧扣职业教育“重实操、强技能”的核心特质，依托国家1+X证书试点单位、中国农村卫生协会医学教育委员会医药人才培养基地等资源，建成模拟药房、护理技能实训中心、康复治疗实训室等一批高标准实训场所。2025年学校成功开设首届小儿推拿专项技术培训班。</w:t>
      </w:r>
    </w:p>
    <w:p w14:paraId="38DCA502">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eastAsia="FangSong_GB2312" w:cs="Times New Roman"/>
          <w:spacing w:val="-2"/>
          <w:sz w:val="32"/>
          <w:szCs w:val="32"/>
          <w:lang w:eastAsia="zh-CN"/>
        </w:rPr>
      </w:pPr>
      <w:r>
        <w:rPr>
          <w:rFonts w:hint="eastAsia" w:eastAsia="FangSong_GB2312" w:cs="Times New Roman"/>
          <w:spacing w:val="-2"/>
          <w:sz w:val="32"/>
          <w:szCs w:val="32"/>
          <w:lang w:val="en-US" w:eastAsia="zh-CN"/>
        </w:rPr>
        <w:t>4.</w:t>
      </w:r>
      <w:r>
        <w:rPr>
          <w:rFonts w:hint="eastAsia" w:eastAsia="FangSong_GB2312" w:cs="Times New Roman"/>
          <w:spacing w:val="-2"/>
          <w:sz w:val="32"/>
          <w:szCs w:val="32"/>
          <w:lang w:eastAsia="zh-CN"/>
        </w:rPr>
        <w:t>学生素养培育锚定“德技双修、知行合一”的育人目标，通过开设职业道德与法律课程、组织企业见习、开展“爱岗敬业”主题班会和志愿服务活动等途径，强化学生职业精神与职业素养的双重培育。</w:t>
      </w:r>
      <w:r>
        <w:rPr>
          <w:rFonts w:hint="eastAsia" w:eastAsia="FangSong_GB2312" w:cs="Times New Roman"/>
          <w:spacing w:val="-2"/>
          <w:sz w:val="32"/>
          <w:szCs w:val="32"/>
          <w:lang w:val="en-US" w:eastAsia="zh-CN"/>
        </w:rPr>
        <w:t>2025年6月</w:t>
      </w:r>
      <w:r>
        <w:rPr>
          <w:rFonts w:hint="eastAsia" w:eastAsia="FangSong_GB2312" w:cs="Times New Roman"/>
          <w:spacing w:val="-2"/>
          <w:sz w:val="32"/>
          <w:szCs w:val="32"/>
          <w:lang w:eastAsia="zh-CN"/>
        </w:rPr>
        <w:t>开展的“康养服务进社区”系列活动，让学生在实践中体悟爱岗敬业的深刻内涵，不少学生因此在实习阶段便获得用人单位的提前录用。</w:t>
      </w:r>
    </w:p>
    <w:p w14:paraId="3165BBE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eastAsia="仿宋_GB2312"/>
          <w:lang w:eastAsia="zh-CN"/>
        </w:rPr>
      </w:pPr>
      <w:r>
        <w:rPr>
          <w:rFonts w:hint="eastAsia"/>
          <w:lang w:val="en-US" w:eastAsia="zh-CN"/>
        </w:rPr>
        <w:t>5.</w:t>
      </w:r>
      <w:r>
        <w:rPr>
          <w:rFonts w:hint="eastAsia"/>
          <w:lang w:eastAsia="zh-CN"/>
        </w:rPr>
        <w:t>学校积极构建“行业产教融合共同体”，依托协会资源与基地资质，校企共建高水平实训基地及口腔修复工艺实训室；联合企业申报典型生产实践项目，推动教学过程与生产线无缝衔接。创新“订单式培养+实习就业一体化”人才培养模式，校企共建定向班、共研培养方案，学生顶岗实习后择优录用，实现“入学即定岗、实习即就业”，毕业生留任率超85%，相关经验已推广至5家合作企业。</w:t>
      </w:r>
    </w:p>
    <w:p w14:paraId="37CEAE61">
      <w:pPr>
        <w:rPr>
          <w:rFonts w:hint="eastAsia" w:eastAsia="FangSong_GB2312" w:cs="Times New Roman"/>
          <w:spacing w:val="-2"/>
          <w:sz w:val="32"/>
          <w:szCs w:val="32"/>
          <w:lang w:val="en-US" w:eastAsia="zh-CN"/>
        </w:rPr>
      </w:pPr>
      <w:r>
        <w:rPr>
          <w:rFonts w:hint="eastAsia" w:eastAsia="FangSong_GB2312" w:cs="Times New Roman"/>
          <w:spacing w:val="-2"/>
          <w:sz w:val="32"/>
          <w:szCs w:val="32"/>
          <w:lang w:val="en-US" w:eastAsia="zh-CN"/>
        </w:rPr>
        <w:br w:type="page"/>
      </w:r>
    </w:p>
    <w:p w14:paraId="0E7F0775">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eastAsia="FangSong_GB2312" w:cs="Times New Roman"/>
          <w:spacing w:val="-2"/>
          <w:sz w:val="32"/>
          <w:szCs w:val="32"/>
          <w:lang w:val="en-US" w:eastAsia="zh-CN"/>
        </w:rPr>
        <w:sectPr>
          <w:footerReference r:id="rId5" w:type="default"/>
          <w:pgSz w:w="11906" w:h="16838"/>
          <w:pgMar w:top="2098" w:right="1474" w:bottom="1984" w:left="1587" w:header="851" w:footer="992" w:gutter="0"/>
          <w:pgNumType w:fmt="decimal" w:start="1"/>
          <w:cols w:space="425" w:num="1"/>
          <w:docGrid w:type="lines" w:linePitch="312" w:charSpace="0"/>
        </w:sectPr>
      </w:pPr>
    </w:p>
    <w:sdt>
      <w:sdtPr>
        <w:rPr>
          <w:rFonts w:hint="eastAsia" w:ascii="宋体" w:hAnsi="宋体" w:eastAsia="宋体" w:cs="仿宋_GB2312"/>
          <w:kern w:val="2"/>
          <w:sz w:val="21"/>
          <w:szCs w:val="32"/>
          <w:lang w:val="en-US" w:eastAsia="zh-CN"/>
        </w:rPr>
        <w:id w:val="147478509"/>
        <w15:color w:val="DBDBDB"/>
        <w:docPartObj>
          <w:docPartGallery w:val="Table of Contents"/>
          <w:docPartUnique/>
        </w:docPartObj>
      </w:sdtPr>
      <w:sdtEndPr>
        <w:rPr>
          <w:rFonts w:hint="eastAsia" w:ascii="宋体" w:hAnsi="宋体" w:eastAsia="宋体" w:cs="仿宋_GB2312"/>
          <w:kern w:val="2"/>
          <w:sz w:val="21"/>
          <w:szCs w:val="32"/>
          <w:lang w:val="en-US" w:eastAsia="zh-CN"/>
        </w:rPr>
      </w:sdtEndPr>
      <w:sdtContent>
        <w:p w14:paraId="385F0204">
          <w:pPr>
            <w:spacing w:before="0" w:beforeLines="0" w:after="0" w:afterLines="0" w:line="240" w:lineRule="auto"/>
            <w:ind w:left="0" w:leftChars="0" w:right="0" w:rightChars="0" w:firstLine="0" w:firstLineChars="0"/>
            <w:jc w:val="center"/>
          </w:pPr>
          <w:r>
            <w:rPr>
              <w:rFonts w:hint="eastAsia"/>
              <w:b/>
              <w:bCs/>
              <w:lang w:val="en-US" w:eastAsia="zh-CN"/>
            </w:rPr>
            <w:t>目 录</w:t>
          </w:r>
        </w:p>
        <w:p w14:paraId="6A2C0D1C">
          <w:pPr>
            <w:pStyle w:val="15"/>
            <w:tabs>
              <w:tab w:val="right" w:leader="dot" w:pos="8901"/>
            </w:tabs>
          </w:pPr>
          <w:r>
            <w:fldChar w:fldCharType="begin"/>
          </w:r>
          <w:r>
            <w:instrText xml:space="preserve">TOC \o "1-3" \h \u </w:instrText>
          </w:r>
          <w:r>
            <w:fldChar w:fldCharType="separate"/>
          </w:r>
          <w:r>
            <w:fldChar w:fldCharType="begin"/>
          </w:r>
          <w:r>
            <w:instrText xml:space="preserve"> HYPERLINK \l _Toc26746 </w:instrText>
          </w:r>
          <w:r>
            <w:fldChar w:fldCharType="separate"/>
          </w:r>
          <w:r>
            <w:rPr>
              <w:rFonts w:hint="default"/>
            </w:rPr>
            <w:t>1.基本情况</w:t>
          </w:r>
          <w:r>
            <w:tab/>
          </w:r>
          <w:r>
            <w:fldChar w:fldCharType="begin"/>
          </w:r>
          <w:r>
            <w:instrText xml:space="preserve"> PAGEREF _Toc26746 \h </w:instrText>
          </w:r>
          <w:r>
            <w:fldChar w:fldCharType="separate"/>
          </w:r>
          <w:r>
            <w:t>1</w:t>
          </w:r>
          <w:r>
            <w:fldChar w:fldCharType="end"/>
          </w:r>
          <w:r>
            <w:fldChar w:fldCharType="end"/>
          </w:r>
        </w:p>
        <w:p w14:paraId="770990CA">
          <w:pPr>
            <w:pStyle w:val="18"/>
            <w:tabs>
              <w:tab w:val="right" w:leader="dot" w:pos="8901"/>
            </w:tabs>
          </w:pPr>
          <w:r>
            <w:fldChar w:fldCharType="begin"/>
          </w:r>
          <w:r>
            <w:instrText xml:space="preserve"> HYPERLINK \l _Toc24518 </w:instrText>
          </w:r>
          <w:r>
            <w:fldChar w:fldCharType="separate"/>
          </w:r>
          <w:r>
            <w:rPr>
              <w:rFonts w:hint="default"/>
            </w:rPr>
            <w:t>1.1学校概况</w:t>
          </w:r>
          <w:r>
            <w:tab/>
          </w:r>
          <w:r>
            <w:fldChar w:fldCharType="begin"/>
          </w:r>
          <w:r>
            <w:instrText xml:space="preserve"> PAGEREF _Toc24518 \h </w:instrText>
          </w:r>
          <w:r>
            <w:fldChar w:fldCharType="separate"/>
          </w:r>
          <w:r>
            <w:t>1</w:t>
          </w:r>
          <w:r>
            <w:fldChar w:fldCharType="end"/>
          </w:r>
          <w:r>
            <w:fldChar w:fldCharType="end"/>
          </w:r>
        </w:p>
        <w:p w14:paraId="32ADB587">
          <w:pPr>
            <w:pStyle w:val="18"/>
            <w:tabs>
              <w:tab w:val="right" w:leader="dot" w:pos="8901"/>
            </w:tabs>
          </w:pPr>
          <w:r>
            <w:fldChar w:fldCharType="begin"/>
          </w:r>
          <w:r>
            <w:instrText xml:space="preserve"> HYPERLINK \l _Toc26375 </w:instrText>
          </w:r>
          <w:r>
            <w:fldChar w:fldCharType="separate"/>
          </w:r>
          <w:r>
            <w:rPr>
              <w:rFonts w:hint="default"/>
            </w:rPr>
            <w:t>1.2专业设置</w:t>
          </w:r>
          <w:r>
            <w:tab/>
          </w:r>
          <w:r>
            <w:fldChar w:fldCharType="begin"/>
          </w:r>
          <w:r>
            <w:instrText xml:space="preserve"> PAGEREF _Toc26375 \h </w:instrText>
          </w:r>
          <w:r>
            <w:fldChar w:fldCharType="separate"/>
          </w:r>
          <w:r>
            <w:t>1</w:t>
          </w:r>
          <w:r>
            <w:fldChar w:fldCharType="end"/>
          </w:r>
          <w:r>
            <w:fldChar w:fldCharType="end"/>
          </w:r>
        </w:p>
        <w:p w14:paraId="5BE360B7">
          <w:pPr>
            <w:pStyle w:val="18"/>
            <w:tabs>
              <w:tab w:val="right" w:leader="dot" w:pos="8901"/>
            </w:tabs>
          </w:pPr>
          <w:r>
            <w:fldChar w:fldCharType="begin"/>
          </w:r>
          <w:r>
            <w:instrText xml:space="preserve"> HYPERLINK \l _Toc26693 </w:instrText>
          </w:r>
          <w:r>
            <w:fldChar w:fldCharType="separate"/>
          </w:r>
          <w:r>
            <w:rPr>
              <w:rFonts w:hint="default"/>
            </w:rPr>
            <w:t>1.3学生情况</w:t>
          </w:r>
          <w:r>
            <w:tab/>
          </w:r>
          <w:r>
            <w:fldChar w:fldCharType="begin"/>
          </w:r>
          <w:r>
            <w:instrText xml:space="preserve"> PAGEREF _Toc26693 \h </w:instrText>
          </w:r>
          <w:r>
            <w:fldChar w:fldCharType="separate"/>
          </w:r>
          <w:r>
            <w:t>2</w:t>
          </w:r>
          <w:r>
            <w:fldChar w:fldCharType="end"/>
          </w:r>
          <w:r>
            <w:fldChar w:fldCharType="end"/>
          </w:r>
        </w:p>
        <w:p w14:paraId="5FA6E399">
          <w:pPr>
            <w:pStyle w:val="18"/>
            <w:tabs>
              <w:tab w:val="right" w:leader="dot" w:pos="8901"/>
            </w:tabs>
          </w:pPr>
          <w:r>
            <w:fldChar w:fldCharType="begin"/>
          </w:r>
          <w:r>
            <w:instrText xml:space="preserve"> HYPERLINK \l _Toc17463 </w:instrText>
          </w:r>
          <w:r>
            <w:fldChar w:fldCharType="separate"/>
          </w:r>
          <w:r>
            <w:rPr>
              <w:rFonts w:hint="default"/>
            </w:rPr>
            <w:t>1.4教师队伍</w:t>
          </w:r>
          <w:r>
            <w:tab/>
          </w:r>
          <w:r>
            <w:fldChar w:fldCharType="begin"/>
          </w:r>
          <w:r>
            <w:instrText xml:space="preserve"> PAGEREF _Toc17463 \h </w:instrText>
          </w:r>
          <w:r>
            <w:fldChar w:fldCharType="separate"/>
          </w:r>
          <w:r>
            <w:t>3</w:t>
          </w:r>
          <w:r>
            <w:fldChar w:fldCharType="end"/>
          </w:r>
          <w:r>
            <w:fldChar w:fldCharType="end"/>
          </w:r>
        </w:p>
        <w:p w14:paraId="1270EE40">
          <w:pPr>
            <w:pStyle w:val="18"/>
            <w:tabs>
              <w:tab w:val="right" w:leader="dot" w:pos="8901"/>
            </w:tabs>
          </w:pPr>
          <w:r>
            <w:fldChar w:fldCharType="begin"/>
          </w:r>
          <w:r>
            <w:instrText xml:space="preserve"> HYPERLINK \l _Toc25423 </w:instrText>
          </w:r>
          <w:r>
            <w:fldChar w:fldCharType="separate"/>
          </w:r>
          <w:r>
            <w:rPr>
              <w:rFonts w:hint="default"/>
            </w:rPr>
            <w:t>1.5设施设备</w:t>
          </w:r>
          <w:r>
            <w:tab/>
          </w:r>
          <w:r>
            <w:fldChar w:fldCharType="begin"/>
          </w:r>
          <w:r>
            <w:instrText xml:space="preserve"> PAGEREF _Toc25423 \h </w:instrText>
          </w:r>
          <w:r>
            <w:fldChar w:fldCharType="separate"/>
          </w:r>
          <w:r>
            <w:t>4</w:t>
          </w:r>
          <w:r>
            <w:fldChar w:fldCharType="end"/>
          </w:r>
          <w:r>
            <w:fldChar w:fldCharType="end"/>
          </w:r>
        </w:p>
        <w:p w14:paraId="3218B7E1">
          <w:pPr>
            <w:pStyle w:val="15"/>
            <w:tabs>
              <w:tab w:val="right" w:leader="dot" w:pos="8901"/>
            </w:tabs>
          </w:pPr>
          <w:r>
            <w:fldChar w:fldCharType="begin"/>
          </w:r>
          <w:r>
            <w:instrText xml:space="preserve"> HYPERLINK \l _Toc14191 </w:instrText>
          </w:r>
          <w:r>
            <w:fldChar w:fldCharType="separate"/>
          </w:r>
          <w:r>
            <w:rPr>
              <w:rFonts w:hint="eastAsia"/>
              <w:lang w:val="en-US" w:eastAsia="zh-CN"/>
            </w:rPr>
            <w:t>2.人才培养</w:t>
          </w:r>
          <w:r>
            <w:tab/>
          </w:r>
          <w:r>
            <w:fldChar w:fldCharType="begin"/>
          </w:r>
          <w:r>
            <w:instrText xml:space="preserve"> PAGEREF _Toc14191 \h </w:instrText>
          </w:r>
          <w:r>
            <w:fldChar w:fldCharType="separate"/>
          </w:r>
          <w:r>
            <w:t>5</w:t>
          </w:r>
          <w:r>
            <w:fldChar w:fldCharType="end"/>
          </w:r>
          <w:r>
            <w:fldChar w:fldCharType="end"/>
          </w:r>
        </w:p>
        <w:p w14:paraId="7851F828">
          <w:pPr>
            <w:pStyle w:val="18"/>
            <w:tabs>
              <w:tab w:val="right" w:leader="dot" w:pos="8901"/>
            </w:tabs>
          </w:pPr>
          <w:r>
            <w:fldChar w:fldCharType="begin"/>
          </w:r>
          <w:r>
            <w:instrText xml:space="preserve"> HYPERLINK \l _Toc2116 </w:instrText>
          </w:r>
          <w:r>
            <w:fldChar w:fldCharType="separate"/>
          </w:r>
          <w:r>
            <w:rPr>
              <w:rFonts w:hint="eastAsia"/>
            </w:rPr>
            <w:t>2.1党建引领</w:t>
          </w:r>
          <w:r>
            <w:tab/>
          </w:r>
          <w:r>
            <w:fldChar w:fldCharType="begin"/>
          </w:r>
          <w:r>
            <w:instrText xml:space="preserve"> PAGEREF _Toc2116 \h </w:instrText>
          </w:r>
          <w:r>
            <w:fldChar w:fldCharType="separate"/>
          </w:r>
          <w:r>
            <w:t>5</w:t>
          </w:r>
          <w:r>
            <w:fldChar w:fldCharType="end"/>
          </w:r>
          <w:r>
            <w:fldChar w:fldCharType="end"/>
          </w:r>
        </w:p>
        <w:p w14:paraId="70EA5237">
          <w:pPr>
            <w:pStyle w:val="18"/>
            <w:tabs>
              <w:tab w:val="right" w:leader="dot" w:pos="8901"/>
            </w:tabs>
          </w:pPr>
          <w:r>
            <w:fldChar w:fldCharType="begin"/>
          </w:r>
          <w:r>
            <w:instrText xml:space="preserve"> HYPERLINK \l _Toc18908 </w:instrText>
          </w:r>
          <w:r>
            <w:fldChar w:fldCharType="separate"/>
          </w:r>
          <w:r>
            <w:rPr>
              <w:rFonts w:hint="eastAsia"/>
            </w:rPr>
            <w:t>2.2</w:t>
          </w:r>
          <w:r>
            <w:rPr>
              <w:rFonts w:hint="eastAsia"/>
              <w:lang w:eastAsia="zh-CN"/>
            </w:rPr>
            <w:t>立德树人</w:t>
          </w:r>
          <w:r>
            <w:tab/>
          </w:r>
          <w:r>
            <w:fldChar w:fldCharType="begin"/>
          </w:r>
          <w:r>
            <w:instrText xml:space="preserve"> PAGEREF _Toc18908 \h </w:instrText>
          </w:r>
          <w:r>
            <w:fldChar w:fldCharType="separate"/>
          </w:r>
          <w:r>
            <w:t>7</w:t>
          </w:r>
          <w:r>
            <w:fldChar w:fldCharType="end"/>
          </w:r>
          <w:r>
            <w:fldChar w:fldCharType="end"/>
          </w:r>
        </w:p>
        <w:p w14:paraId="04CA4550">
          <w:pPr>
            <w:pStyle w:val="18"/>
            <w:tabs>
              <w:tab w:val="right" w:leader="dot" w:pos="8901"/>
            </w:tabs>
          </w:pPr>
          <w:r>
            <w:fldChar w:fldCharType="begin"/>
          </w:r>
          <w:r>
            <w:instrText xml:space="preserve"> HYPERLINK \l _Toc21952 </w:instrText>
          </w:r>
          <w:r>
            <w:fldChar w:fldCharType="separate"/>
          </w:r>
          <w:r>
            <w:t>2</w:t>
          </w:r>
          <w:r>
            <w:rPr>
              <w:rFonts w:hint="eastAsia"/>
            </w:rPr>
            <w:t>.3专业建设</w:t>
          </w:r>
          <w:r>
            <w:tab/>
          </w:r>
          <w:r>
            <w:fldChar w:fldCharType="begin"/>
          </w:r>
          <w:r>
            <w:instrText xml:space="preserve"> PAGEREF _Toc21952 \h </w:instrText>
          </w:r>
          <w:r>
            <w:fldChar w:fldCharType="separate"/>
          </w:r>
          <w:r>
            <w:t>13</w:t>
          </w:r>
          <w:r>
            <w:fldChar w:fldCharType="end"/>
          </w:r>
          <w:r>
            <w:fldChar w:fldCharType="end"/>
          </w:r>
        </w:p>
        <w:p w14:paraId="3E454E95">
          <w:pPr>
            <w:pStyle w:val="18"/>
            <w:tabs>
              <w:tab w:val="right" w:leader="dot" w:pos="8901"/>
            </w:tabs>
          </w:pPr>
          <w:r>
            <w:fldChar w:fldCharType="begin"/>
          </w:r>
          <w:r>
            <w:instrText xml:space="preserve"> HYPERLINK \l _Toc14655 </w:instrText>
          </w:r>
          <w:r>
            <w:fldChar w:fldCharType="separate"/>
          </w:r>
          <w:r>
            <w:t>2</w:t>
          </w:r>
          <w:r>
            <w:rPr>
              <w:rFonts w:hint="eastAsia"/>
            </w:rPr>
            <w:t>.</w:t>
          </w:r>
          <w:r>
            <w:rPr>
              <w:rFonts w:hint="eastAsia"/>
              <w:lang w:val="en-US" w:eastAsia="zh-CN"/>
            </w:rPr>
            <w:t>4</w:t>
          </w:r>
          <w:r>
            <w:rPr>
              <w:rFonts w:hint="eastAsia"/>
            </w:rPr>
            <w:t>课程建设</w:t>
          </w:r>
          <w:r>
            <w:tab/>
          </w:r>
          <w:r>
            <w:fldChar w:fldCharType="begin"/>
          </w:r>
          <w:r>
            <w:instrText xml:space="preserve"> PAGEREF _Toc14655 \h </w:instrText>
          </w:r>
          <w:r>
            <w:fldChar w:fldCharType="separate"/>
          </w:r>
          <w:r>
            <w:t>14</w:t>
          </w:r>
          <w:r>
            <w:fldChar w:fldCharType="end"/>
          </w:r>
          <w:r>
            <w:fldChar w:fldCharType="end"/>
          </w:r>
        </w:p>
        <w:p w14:paraId="32D731EC">
          <w:pPr>
            <w:pStyle w:val="18"/>
            <w:tabs>
              <w:tab w:val="right" w:leader="dot" w:pos="8901"/>
            </w:tabs>
          </w:pPr>
          <w:r>
            <w:fldChar w:fldCharType="begin"/>
          </w:r>
          <w:r>
            <w:instrText xml:space="preserve"> HYPERLINK \l _Toc19890 </w:instrText>
          </w:r>
          <w:r>
            <w:fldChar w:fldCharType="separate"/>
          </w:r>
          <w:r>
            <w:rPr>
              <w:rFonts w:hint="eastAsia"/>
            </w:rPr>
            <w:t>2.5教学改革（含数字化教学资源建设）</w:t>
          </w:r>
          <w:r>
            <w:tab/>
          </w:r>
          <w:r>
            <w:fldChar w:fldCharType="begin"/>
          </w:r>
          <w:r>
            <w:instrText xml:space="preserve"> PAGEREF _Toc19890 \h </w:instrText>
          </w:r>
          <w:r>
            <w:fldChar w:fldCharType="separate"/>
          </w:r>
          <w:r>
            <w:t>15</w:t>
          </w:r>
          <w:r>
            <w:fldChar w:fldCharType="end"/>
          </w:r>
          <w:r>
            <w:fldChar w:fldCharType="end"/>
          </w:r>
        </w:p>
        <w:p w14:paraId="19DFD792">
          <w:pPr>
            <w:pStyle w:val="18"/>
            <w:tabs>
              <w:tab w:val="right" w:leader="dot" w:pos="8901"/>
            </w:tabs>
          </w:pPr>
          <w:r>
            <w:fldChar w:fldCharType="begin"/>
          </w:r>
          <w:r>
            <w:instrText xml:space="preserve"> HYPERLINK \l _Toc5686 </w:instrText>
          </w:r>
          <w:r>
            <w:fldChar w:fldCharType="separate"/>
          </w:r>
          <w:r>
            <w:rPr>
              <w:rFonts w:hint="eastAsia"/>
            </w:rPr>
            <w:t>2.6贯通培养</w:t>
          </w:r>
          <w:r>
            <w:tab/>
          </w:r>
          <w:r>
            <w:fldChar w:fldCharType="begin"/>
          </w:r>
          <w:r>
            <w:instrText xml:space="preserve"> PAGEREF _Toc5686 \h </w:instrText>
          </w:r>
          <w:r>
            <w:fldChar w:fldCharType="separate"/>
          </w:r>
          <w:r>
            <w:t>20</w:t>
          </w:r>
          <w:r>
            <w:fldChar w:fldCharType="end"/>
          </w:r>
          <w:r>
            <w:fldChar w:fldCharType="end"/>
          </w:r>
        </w:p>
        <w:p w14:paraId="313E4372">
          <w:pPr>
            <w:pStyle w:val="18"/>
            <w:tabs>
              <w:tab w:val="right" w:leader="dot" w:pos="8901"/>
            </w:tabs>
          </w:pPr>
          <w:r>
            <w:fldChar w:fldCharType="begin"/>
          </w:r>
          <w:r>
            <w:instrText xml:space="preserve"> HYPERLINK \l _Toc8962 </w:instrText>
          </w:r>
          <w:r>
            <w:fldChar w:fldCharType="separate"/>
          </w:r>
          <w:r>
            <w:rPr>
              <w:rFonts w:hint="eastAsia"/>
            </w:rPr>
            <w:t>2.7科教融汇</w:t>
          </w:r>
          <w:r>
            <w:tab/>
          </w:r>
          <w:r>
            <w:fldChar w:fldCharType="begin"/>
          </w:r>
          <w:r>
            <w:instrText xml:space="preserve"> PAGEREF _Toc8962 \h </w:instrText>
          </w:r>
          <w:r>
            <w:fldChar w:fldCharType="separate"/>
          </w:r>
          <w:r>
            <w:t>21</w:t>
          </w:r>
          <w:r>
            <w:fldChar w:fldCharType="end"/>
          </w:r>
          <w:r>
            <w:fldChar w:fldCharType="end"/>
          </w:r>
        </w:p>
        <w:p w14:paraId="64B739A8">
          <w:pPr>
            <w:pStyle w:val="18"/>
            <w:tabs>
              <w:tab w:val="right" w:leader="dot" w:pos="8901"/>
            </w:tabs>
          </w:pPr>
          <w:r>
            <w:fldChar w:fldCharType="begin"/>
          </w:r>
          <w:r>
            <w:instrText xml:space="preserve"> HYPERLINK \l _Toc8646 </w:instrText>
          </w:r>
          <w:r>
            <w:fldChar w:fldCharType="separate"/>
          </w:r>
          <w:r>
            <w:rPr>
              <w:rFonts w:hint="default"/>
              <w:lang w:val="en-US" w:eastAsia="zh-CN"/>
            </w:rPr>
            <w:t>2.8创新创业</w:t>
          </w:r>
          <w:r>
            <w:tab/>
          </w:r>
          <w:r>
            <w:fldChar w:fldCharType="begin"/>
          </w:r>
          <w:r>
            <w:instrText xml:space="preserve"> PAGEREF _Toc8646 \h </w:instrText>
          </w:r>
          <w:r>
            <w:fldChar w:fldCharType="separate"/>
          </w:r>
          <w:r>
            <w:t>21</w:t>
          </w:r>
          <w:r>
            <w:fldChar w:fldCharType="end"/>
          </w:r>
          <w:r>
            <w:fldChar w:fldCharType="end"/>
          </w:r>
        </w:p>
        <w:p w14:paraId="1CE5E3A7">
          <w:pPr>
            <w:pStyle w:val="18"/>
            <w:tabs>
              <w:tab w:val="right" w:leader="dot" w:pos="8901"/>
            </w:tabs>
          </w:pPr>
          <w:r>
            <w:fldChar w:fldCharType="begin"/>
          </w:r>
          <w:r>
            <w:instrText xml:space="preserve"> HYPERLINK \l _Toc28019 </w:instrText>
          </w:r>
          <w:r>
            <w:fldChar w:fldCharType="separate"/>
          </w:r>
          <w:r>
            <w:rPr>
              <w:rFonts w:hint="eastAsia"/>
            </w:rPr>
            <w:t>2.9技能大赛</w:t>
          </w:r>
          <w:r>
            <w:tab/>
          </w:r>
          <w:r>
            <w:fldChar w:fldCharType="begin"/>
          </w:r>
          <w:r>
            <w:instrText xml:space="preserve"> PAGEREF _Toc28019 \h </w:instrText>
          </w:r>
          <w:r>
            <w:fldChar w:fldCharType="separate"/>
          </w:r>
          <w:r>
            <w:t>22</w:t>
          </w:r>
          <w:r>
            <w:fldChar w:fldCharType="end"/>
          </w:r>
          <w:r>
            <w:fldChar w:fldCharType="end"/>
          </w:r>
        </w:p>
        <w:p w14:paraId="434416D3">
          <w:pPr>
            <w:pStyle w:val="18"/>
            <w:tabs>
              <w:tab w:val="right" w:leader="dot" w:pos="8901"/>
            </w:tabs>
          </w:pPr>
          <w:r>
            <w:fldChar w:fldCharType="begin"/>
          </w:r>
          <w:r>
            <w:instrText xml:space="preserve"> HYPERLINK \l _Toc19500 </w:instrText>
          </w:r>
          <w:r>
            <w:fldChar w:fldCharType="separate"/>
          </w:r>
          <w:r>
            <w:rPr>
              <w:rFonts w:hint="default"/>
            </w:rPr>
            <w:t>2.10就业质量</w:t>
          </w:r>
          <w:r>
            <w:tab/>
          </w:r>
          <w:r>
            <w:fldChar w:fldCharType="begin"/>
          </w:r>
          <w:r>
            <w:instrText xml:space="preserve"> PAGEREF _Toc19500 \h </w:instrText>
          </w:r>
          <w:r>
            <w:fldChar w:fldCharType="separate"/>
          </w:r>
          <w:r>
            <w:t>22</w:t>
          </w:r>
          <w:r>
            <w:fldChar w:fldCharType="end"/>
          </w:r>
          <w:r>
            <w:fldChar w:fldCharType="end"/>
          </w:r>
        </w:p>
        <w:p w14:paraId="723A6AD9">
          <w:pPr>
            <w:pStyle w:val="15"/>
            <w:tabs>
              <w:tab w:val="right" w:leader="dot" w:pos="8901"/>
            </w:tabs>
          </w:pPr>
          <w:r>
            <w:fldChar w:fldCharType="begin"/>
          </w:r>
          <w:r>
            <w:instrText xml:space="preserve"> HYPERLINK \l _Toc23986 </w:instrText>
          </w:r>
          <w:r>
            <w:fldChar w:fldCharType="separate"/>
          </w:r>
          <w:r>
            <w:rPr>
              <w:rFonts w:hint="default"/>
            </w:rPr>
            <w:t>3.服务贡献</w:t>
          </w:r>
          <w:r>
            <w:tab/>
          </w:r>
          <w:r>
            <w:fldChar w:fldCharType="begin"/>
          </w:r>
          <w:r>
            <w:instrText xml:space="preserve"> PAGEREF _Toc23986 \h </w:instrText>
          </w:r>
          <w:r>
            <w:fldChar w:fldCharType="separate"/>
          </w:r>
          <w:r>
            <w:t>26</w:t>
          </w:r>
          <w:r>
            <w:fldChar w:fldCharType="end"/>
          </w:r>
          <w:r>
            <w:fldChar w:fldCharType="end"/>
          </w:r>
        </w:p>
        <w:p w14:paraId="6C3D8AB4">
          <w:pPr>
            <w:pStyle w:val="18"/>
            <w:tabs>
              <w:tab w:val="right" w:leader="dot" w:pos="8901"/>
            </w:tabs>
          </w:pPr>
          <w:r>
            <w:fldChar w:fldCharType="begin"/>
          </w:r>
          <w:r>
            <w:instrText xml:space="preserve"> HYPERLINK \l _Toc1856 </w:instrText>
          </w:r>
          <w:r>
            <w:fldChar w:fldCharType="separate"/>
          </w:r>
          <w:r>
            <w:rPr>
              <w:rFonts w:hint="default"/>
            </w:rPr>
            <w:t>3.1服务行业企业</w:t>
          </w:r>
          <w:r>
            <w:tab/>
          </w:r>
          <w:r>
            <w:fldChar w:fldCharType="begin"/>
          </w:r>
          <w:r>
            <w:instrText xml:space="preserve"> PAGEREF _Toc1856 \h </w:instrText>
          </w:r>
          <w:r>
            <w:fldChar w:fldCharType="separate"/>
          </w:r>
          <w:r>
            <w:t>26</w:t>
          </w:r>
          <w:r>
            <w:fldChar w:fldCharType="end"/>
          </w:r>
          <w:r>
            <w:fldChar w:fldCharType="end"/>
          </w:r>
        </w:p>
        <w:p w14:paraId="023E99F1">
          <w:pPr>
            <w:pStyle w:val="18"/>
            <w:tabs>
              <w:tab w:val="right" w:leader="dot" w:pos="8901"/>
            </w:tabs>
          </w:pPr>
          <w:r>
            <w:fldChar w:fldCharType="begin"/>
          </w:r>
          <w:r>
            <w:instrText xml:space="preserve"> HYPERLINK \l _Toc31398 </w:instrText>
          </w:r>
          <w:r>
            <w:fldChar w:fldCharType="separate"/>
          </w:r>
          <w:r>
            <w:rPr>
              <w:rFonts w:hint="default"/>
            </w:rPr>
            <w:t>3.</w:t>
          </w:r>
          <w:r>
            <w:rPr>
              <w:rFonts w:hint="eastAsia"/>
              <w:lang w:val="en-US" w:eastAsia="zh-CN"/>
            </w:rPr>
            <w:t>2</w:t>
          </w:r>
          <w:r>
            <w:rPr>
              <w:rFonts w:hint="default"/>
            </w:rPr>
            <w:t>服务地方发展</w:t>
          </w:r>
          <w:r>
            <w:tab/>
          </w:r>
          <w:r>
            <w:fldChar w:fldCharType="begin"/>
          </w:r>
          <w:r>
            <w:instrText xml:space="preserve"> PAGEREF _Toc31398 \h </w:instrText>
          </w:r>
          <w:r>
            <w:fldChar w:fldCharType="separate"/>
          </w:r>
          <w:r>
            <w:t>28</w:t>
          </w:r>
          <w:r>
            <w:fldChar w:fldCharType="end"/>
          </w:r>
          <w:r>
            <w:fldChar w:fldCharType="end"/>
          </w:r>
        </w:p>
        <w:p w14:paraId="47A551F9">
          <w:pPr>
            <w:pStyle w:val="18"/>
            <w:tabs>
              <w:tab w:val="right" w:leader="dot" w:pos="8901"/>
            </w:tabs>
          </w:pPr>
          <w:r>
            <w:fldChar w:fldCharType="begin"/>
          </w:r>
          <w:r>
            <w:instrText xml:space="preserve"> HYPERLINK \l _Toc28914 </w:instrText>
          </w:r>
          <w:r>
            <w:fldChar w:fldCharType="separate"/>
          </w:r>
          <w:r>
            <w:rPr>
              <w:rFonts w:hint="default"/>
            </w:rPr>
            <w:t>3.</w:t>
          </w:r>
          <w:r>
            <w:rPr>
              <w:rFonts w:hint="eastAsia"/>
              <w:lang w:val="en-US" w:eastAsia="zh-CN"/>
            </w:rPr>
            <w:t>3</w:t>
          </w:r>
          <w:r>
            <w:rPr>
              <w:rFonts w:hint="default"/>
            </w:rPr>
            <w:t>服务乡村振兴</w:t>
          </w:r>
          <w:r>
            <w:tab/>
          </w:r>
          <w:r>
            <w:fldChar w:fldCharType="begin"/>
          </w:r>
          <w:r>
            <w:instrText xml:space="preserve"> PAGEREF _Toc28914 \h </w:instrText>
          </w:r>
          <w:r>
            <w:fldChar w:fldCharType="separate"/>
          </w:r>
          <w:r>
            <w:t>29</w:t>
          </w:r>
          <w:r>
            <w:fldChar w:fldCharType="end"/>
          </w:r>
          <w:r>
            <w:fldChar w:fldCharType="end"/>
          </w:r>
        </w:p>
        <w:p w14:paraId="47466C5E">
          <w:pPr>
            <w:pStyle w:val="18"/>
            <w:tabs>
              <w:tab w:val="right" w:leader="dot" w:pos="8901"/>
            </w:tabs>
          </w:pPr>
          <w:r>
            <w:fldChar w:fldCharType="begin"/>
          </w:r>
          <w:r>
            <w:instrText xml:space="preserve"> HYPERLINK \l _Toc31362 </w:instrText>
          </w:r>
          <w:r>
            <w:fldChar w:fldCharType="separate"/>
          </w:r>
          <w:r>
            <w:rPr>
              <w:rFonts w:hint="default"/>
            </w:rPr>
            <w:t>3.</w:t>
          </w:r>
          <w:r>
            <w:rPr>
              <w:rFonts w:hint="eastAsia"/>
              <w:lang w:val="en-US" w:eastAsia="zh-CN"/>
            </w:rPr>
            <w:t>4</w:t>
          </w:r>
          <w:r>
            <w:rPr>
              <w:rFonts w:hint="default"/>
            </w:rPr>
            <w:t>服务地方社区</w:t>
          </w:r>
          <w:r>
            <w:tab/>
          </w:r>
          <w:r>
            <w:fldChar w:fldCharType="begin"/>
          </w:r>
          <w:r>
            <w:instrText xml:space="preserve"> PAGEREF _Toc31362 \h </w:instrText>
          </w:r>
          <w:r>
            <w:fldChar w:fldCharType="separate"/>
          </w:r>
          <w:r>
            <w:t>29</w:t>
          </w:r>
          <w:r>
            <w:fldChar w:fldCharType="end"/>
          </w:r>
          <w:r>
            <w:fldChar w:fldCharType="end"/>
          </w:r>
        </w:p>
        <w:p w14:paraId="3367D2C4">
          <w:pPr>
            <w:pStyle w:val="18"/>
            <w:tabs>
              <w:tab w:val="right" w:leader="dot" w:pos="8901"/>
            </w:tabs>
          </w:pPr>
          <w:r>
            <w:fldChar w:fldCharType="begin"/>
          </w:r>
          <w:r>
            <w:instrText xml:space="preserve"> HYPERLINK \l _Toc16040 </w:instrText>
          </w:r>
          <w:r>
            <w:fldChar w:fldCharType="separate"/>
          </w:r>
          <w:r>
            <w:rPr>
              <w:rFonts w:hint="default"/>
            </w:rPr>
            <w:t>3.</w:t>
          </w:r>
          <w:r>
            <w:rPr>
              <w:rFonts w:hint="eastAsia"/>
              <w:lang w:val="en-US" w:eastAsia="zh-CN"/>
            </w:rPr>
            <w:t>5</w:t>
          </w:r>
          <w:r>
            <w:rPr>
              <w:rFonts w:hint="default"/>
            </w:rPr>
            <w:t>具有地域特色的服务</w:t>
          </w:r>
          <w:r>
            <w:tab/>
          </w:r>
          <w:r>
            <w:fldChar w:fldCharType="begin"/>
          </w:r>
          <w:r>
            <w:instrText xml:space="preserve"> PAGEREF _Toc16040 \h </w:instrText>
          </w:r>
          <w:r>
            <w:fldChar w:fldCharType="separate"/>
          </w:r>
          <w:r>
            <w:t>30</w:t>
          </w:r>
          <w:r>
            <w:fldChar w:fldCharType="end"/>
          </w:r>
          <w:r>
            <w:fldChar w:fldCharType="end"/>
          </w:r>
        </w:p>
        <w:p w14:paraId="789D15AD">
          <w:pPr>
            <w:pStyle w:val="18"/>
            <w:tabs>
              <w:tab w:val="right" w:leader="dot" w:pos="8901"/>
            </w:tabs>
          </w:pPr>
          <w:r>
            <w:fldChar w:fldCharType="begin"/>
          </w:r>
          <w:r>
            <w:instrText xml:space="preserve"> HYPERLINK \l _Toc7464 </w:instrText>
          </w:r>
          <w:r>
            <w:fldChar w:fldCharType="separate"/>
          </w:r>
          <w:r>
            <w:rPr>
              <w:rFonts w:hint="default"/>
            </w:rPr>
            <w:t>3.</w:t>
          </w:r>
          <w:r>
            <w:rPr>
              <w:rFonts w:hint="eastAsia"/>
              <w:lang w:val="en-US" w:eastAsia="zh-CN"/>
            </w:rPr>
            <w:t>6</w:t>
          </w:r>
          <w:r>
            <w:rPr>
              <w:rFonts w:hint="default"/>
            </w:rPr>
            <w:t>具有本校特色的服务</w:t>
          </w:r>
          <w:r>
            <w:tab/>
          </w:r>
          <w:r>
            <w:fldChar w:fldCharType="begin"/>
          </w:r>
          <w:r>
            <w:instrText xml:space="preserve"> PAGEREF _Toc7464 \h </w:instrText>
          </w:r>
          <w:r>
            <w:fldChar w:fldCharType="separate"/>
          </w:r>
          <w:r>
            <w:t>30</w:t>
          </w:r>
          <w:r>
            <w:fldChar w:fldCharType="end"/>
          </w:r>
          <w:r>
            <w:fldChar w:fldCharType="end"/>
          </w:r>
        </w:p>
        <w:p w14:paraId="7688B0E3">
          <w:pPr>
            <w:pStyle w:val="15"/>
            <w:tabs>
              <w:tab w:val="right" w:leader="dot" w:pos="8901"/>
            </w:tabs>
          </w:pPr>
          <w:r>
            <w:fldChar w:fldCharType="begin"/>
          </w:r>
          <w:r>
            <w:instrText xml:space="preserve"> HYPERLINK \l _Toc22656 </w:instrText>
          </w:r>
          <w:r>
            <w:fldChar w:fldCharType="separate"/>
          </w:r>
          <w:r>
            <w:rPr>
              <w:rFonts w:hint="default"/>
            </w:rPr>
            <w:t>4.文化传承</w:t>
          </w:r>
          <w:r>
            <w:tab/>
          </w:r>
          <w:r>
            <w:fldChar w:fldCharType="begin"/>
          </w:r>
          <w:r>
            <w:instrText xml:space="preserve"> PAGEREF _Toc22656 \h </w:instrText>
          </w:r>
          <w:r>
            <w:fldChar w:fldCharType="separate"/>
          </w:r>
          <w:r>
            <w:t>32</w:t>
          </w:r>
          <w:r>
            <w:fldChar w:fldCharType="end"/>
          </w:r>
          <w:r>
            <w:fldChar w:fldCharType="end"/>
          </w:r>
        </w:p>
        <w:p w14:paraId="08622754">
          <w:pPr>
            <w:pStyle w:val="18"/>
            <w:tabs>
              <w:tab w:val="right" w:leader="dot" w:pos="8901"/>
            </w:tabs>
          </w:pPr>
          <w:r>
            <w:fldChar w:fldCharType="begin"/>
          </w:r>
          <w:r>
            <w:instrText xml:space="preserve"> HYPERLINK \l _Toc23260 </w:instrText>
          </w:r>
          <w:r>
            <w:fldChar w:fldCharType="separate"/>
          </w:r>
          <w:r>
            <w:rPr>
              <w:rFonts w:hint="default"/>
            </w:rPr>
            <w:t>4.1传承工匠精神</w:t>
          </w:r>
          <w:r>
            <w:tab/>
          </w:r>
          <w:r>
            <w:fldChar w:fldCharType="begin"/>
          </w:r>
          <w:r>
            <w:instrText xml:space="preserve"> PAGEREF _Toc23260 \h </w:instrText>
          </w:r>
          <w:r>
            <w:fldChar w:fldCharType="separate"/>
          </w:r>
          <w:r>
            <w:t>32</w:t>
          </w:r>
          <w:r>
            <w:fldChar w:fldCharType="end"/>
          </w:r>
          <w:r>
            <w:fldChar w:fldCharType="end"/>
          </w:r>
        </w:p>
        <w:p w14:paraId="0CC1C7C8">
          <w:pPr>
            <w:pStyle w:val="18"/>
            <w:tabs>
              <w:tab w:val="right" w:leader="dot" w:pos="8901"/>
            </w:tabs>
          </w:pPr>
          <w:r>
            <w:fldChar w:fldCharType="begin"/>
          </w:r>
          <w:r>
            <w:instrText xml:space="preserve"> HYPERLINK \l _Toc19405 </w:instrText>
          </w:r>
          <w:r>
            <w:fldChar w:fldCharType="separate"/>
          </w:r>
          <w:r>
            <w:rPr>
              <w:rFonts w:hint="default"/>
            </w:rPr>
            <w:t>4.2传承红色基因</w:t>
          </w:r>
          <w:r>
            <w:tab/>
          </w:r>
          <w:r>
            <w:fldChar w:fldCharType="begin"/>
          </w:r>
          <w:r>
            <w:instrText xml:space="preserve"> PAGEREF _Toc19405 \h </w:instrText>
          </w:r>
          <w:r>
            <w:fldChar w:fldCharType="separate"/>
          </w:r>
          <w:r>
            <w:t>32</w:t>
          </w:r>
          <w:r>
            <w:fldChar w:fldCharType="end"/>
          </w:r>
          <w:r>
            <w:fldChar w:fldCharType="end"/>
          </w:r>
        </w:p>
        <w:p w14:paraId="1A51FBCF">
          <w:pPr>
            <w:pStyle w:val="18"/>
            <w:tabs>
              <w:tab w:val="right" w:leader="dot" w:pos="8901"/>
            </w:tabs>
          </w:pPr>
          <w:r>
            <w:fldChar w:fldCharType="begin"/>
          </w:r>
          <w:r>
            <w:instrText xml:space="preserve"> HYPERLINK \l _Toc4442 </w:instrText>
          </w:r>
          <w:r>
            <w:fldChar w:fldCharType="separate"/>
          </w:r>
          <w:r>
            <w:rPr>
              <w:rFonts w:hint="default"/>
            </w:rPr>
            <w:t>4.3传承中华优秀传统文化</w:t>
          </w:r>
          <w:r>
            <w:tab/>
          </w:r>
          <w:r>
            <w:fldChar w:fldCharType="begin"/>
          </w:r>
          <w:r>
            <w:instrText xml:space="preserve"> PAGEREF _Toc4442 \h </w:instrText>
          </w:r>
          <w:r>
            <w:fldChar w:fldCharType="separate"/>
          </w:r>
          <w:r>
            <w:t>33</w:t>
          </w:r>
          <w:r>
            <w:fldChar w:fldCharType="end"/>
          </w:r>
          <w:r>
            <w:fldChar w:fldCharType="end"/>
          </w:r>
        </w:p>
        <w:p w14:paraId="0A0C1C99">
          <w:pPr>
            <w:pStyle w:val="18"/>
            <w:tabs>
              <w:tab w:val="right" w:leader="dot" w:pos="8901"/>
            </w:tabs>
          </w:pPr>
          <w:r>
            <w:fldChar w:fldCharType="begin"/>
          </w:r>
          <w:r>
            <w:instrText xml:space="preserve"> HYPERLINK \l _Toc13891 </w:instrText>
          </w:r>
          <w:r>
            <w:fldChar w:fldCharType="separate"/>
          </w:r>
          <w:r>
            <w:rPr>
              <w:rFonts w:hint="eastAsia"/>
              <w:lang w:val="en-US" w:eastAsia="zh-CN"/>
            </w:rPr>
            <w:t>4.4传承地方特色文化与校史文化</w:t>
          </w:r>
          <w:r>
            <w:tab/>
          </w:r>
          <w:r>
            <w:fldChar w:fldCharType="begin"/>
          </w:r>
          <w:r>
            <w:instrText xml:space="preserve"> PAGEREF _Toc13891 \h </w:instrText>
          </w:r>
          <w:r>
            <w:fldChar w:fldCharType="separate"/>
          </w:r>
          <w:r>
            <w:t>33</w:t>
          </w:r>
          <w:r>
            <w:fldChar w:fldCharType="end"/>
          </w:r>
          <w:r>
            <w:fldChar w:fldCharType="end"/>
          </w:r>
        </w:p>
        <w:p w14:paraId="2B739CB4">
          <w:pPr>
            <w:pStyle w:val="15"/>
            <w:tabs>
              <w:tab w:val="right" w:leader="dot" w:pos="8901"/>
            </w:tabs>
          </w:pPr>
          <w:r>
            <w:fldChar w:fldCharType="begin"/>
          </w:r>
          <w:r>
            <w:instrText xml:space="preserve"> HYPERLINK \l _Toc27337 </w:instrText>
          </w:r>
          <w:r>
            <w:fldChar w:fldCharType="separate"/>
          </w:r>
          <w:r>
            <w:rPr>
              <w:rFonts w:hint="default"/>
            </w:rPr>
            <w:t>5.国际合作</w:t>
          </w:r>
          <w:r>
            <w:tab/>
          </w:r>
          <w:r>
            <w:fldChar w:fldCharType="begin"/>
          </w:r>
          <w:r>
            <w:instrText xml:space="preserve"> PAGEREF _Toc27337 \h </w:instrText>
          </w:r>
          <w:r>
            <w:fldChar w:fldCharType="separate"/>
          </w:r>
          <w:r>
            <w:t>34</w:t>
          </w:r>
          <w:r>
            <w:fldChar w:fldCharType="end"/>
          </w:r>
          <w:r>
            <w:fldChar w:fldCharType="end"/>
          </w:r>
        </w:p>
        <w:p w14:paraId="48EB611C">
          <w:pPr>
            <w:pStyle w:val="15"/>
            <w:tabs>
              <w:tab w:val="right" w:leader="dot" w:pos="8901"/>
            </w:tabs>
          </w:pPr>
          <w:r>
            <w:fldChar w:fldCharType="begin"/>
          </w:r>
          <w:r>
            <w:instrText xml:space="preserve"> HYPERLINK \l _Toc6056 </w:instrText>
          </w:r>
          <w:r>
            <w:fldChar w:fldCharType="separate"/>
          </w:r>
          <w:r>
            <w:rPr>
              <w:rFonts w:hint="eastAsia"/>
              <w:lang w:val="en-US" w:eastAsia="zh-CN"/>
            </w:rPr>
            <w:t>6.</w:t>
          </w:r>
          <w:r>
            <w:rPr>
              <w:rFonts w:hint="default"/>
            </w:rPr>
            <w:t>产教融合</w:t>
          </w:r>
          <w:r>
            <w:tab/>
          </w:r>
          <w:r>
            <w:fldChar w:fldCharType="begin"/>
          </w:r>
          <w:r>
            <w:instrText xml:space="preserve"> PAGEREF _Toc6056 \h </w:instrText>
          </w:r>
          <w:r>
            <w:fldChar w:fldCharType="separate"/>
          </w:r>
          <w:r>
            <w:t>34</w:t>
          </w:r>
          <w:r>
            <w:fldChar w:fldCharType="end"/>
          </w:r>
          <w:r>
            <w:fldChar w:fldCharType="end"/>
          </w:r>
        </w:p>
        <w:p w14:paraId="3AB80F61">
          <w:pPr>
            <w:pStyle w:val="18"/>
            <w:tabs>
              <w:tab w:val="right" w:leader="dot" w:pos="8901"/>
            </w:tabs>
          </w:pPr>
          <w:r>
            <w:fldChar w:fldCharType="begin"/>
          </w:r>
          <w:r>
            <w:instrText xml:space="preserve"> HYPERLINK \l _Toc21797 </w:instrText>
          </w:r>
          <w:r>
            <w:fldChar w:fldCharType="separate"/>
          </w:r>
          <w:r>
            <w:rPr>
              <w:rFonts w:hint="default"/>
            </w:rPr>
            <w:t>6.1 校企双元育人</w:t>
          </w:r>
          <w:r>
            <w:tab/>
          </w:r>
          <w:r>
            <w:fldChar w:fldCharType="begin"/>
          </w:r>
          <w:r>
            <w:instrText xml:space="preserve"> PAGEREF _Toc21797 \h </w:instrText>
          </w:r>
          <w:r>
            <w:fldChar w:fldCharType="separate"/>
          </w:r>
          <w:r>
            <w:t>34</w:t>
          </w:r>
          <w:r>
            <w:fldChar w:fldCharType="end"/>
          </w:r>
          <w:r>
            <w:fldChar w:fldCharType="end"/>
          </w:r>
        </w:p>
        <w:p w14:paraId="7B37F475">
          <w:pPr>
            <w:pStyle w:val="18"/>
            <w:tabs>
              <w:tab w:val="right" w:leader="dot" w:pos="8901"/>
            </w:tabs>
          </w:pPr>
          <w:r>
            <w:fldChar w:fldCharType="begin"/>
          </w:r>
          <w:r>
            <w:instrText xml:space="preserve"> HYPERLINK \l _Toc9746 </w:instrText>
          </w:r>
          <w:r>
            <w:fldChar w:fldCharType="separate"/>
          </w:r>
          <w:r>
            <w:rPr>
              <w:rFonts w:hint="default"/>
            </w:rPr>
            <w:t>6.</w:t>
          </w:r>
          <w:r>
            <w:rPr>
              <w:rFonts w:hint="eastAsia"/>
              <w:lang w:val="en-US" w:eastAsia="zh-CN"/>
            </w:rPr>
            <w:t>2</w:t>
          </w:r>
          <w:r>
            <w:rPr>
              <w:rFonts w:hint="default"/>
            </w:rPr>
            <w:t>市域产教联合体建设</w:t>
          </w:r>
          <w:r>
            <w:tab/>
          </w:r>
          <w:r>
            <w:fldChar w:fldCharType="begin"/>
          </w:r>
          <w:r>
            <w:instrText xml:space="preserve"> PAGEREF _Toc9746 \h </w:instrText>
          </w:r>
          <w:r>
            <w:fldChar w:fldCharType="separate"/>
          </w:r>
          <w:r>
            <w:t>36</w:t>
          </w:r>
          <w:r>
            <w:fldChar w:fldCharType="end"/>
          </w:r>
          <w:r>
            <w:fldChar w:fldCharType="end"/>
          </w:r>
        </w:p>
        <w:p w14:paraId="31CCA8D8">
          <w:pPr>
            <w:pStyle w:val="18"/>
            <w:tabs>
              <w:tab w:val="right" w:leader="dot" w:pos="8901"/>
            </w:tabs>
          </w:pPr>
          <w:r>
            <w:fldChar w:fldCharType="begin"/>
          </w:r>
          <w:r>
            <w:instrText xml:space="preserve"> HYPERLINK \l _Toc22034 </w:instrText>
          </w:r>
          <w:r>
            <w:fldChar w:fldCharType="separate"/>
          </w:r>
          <w:r>
            <w:rPr>
              <w:rFonts w:hint="default"/>
            </w:rPr>
            <w:t>6.</w:t>
          </w:r>
          <w:r>
            <w:rPr>
              <w:rFonts w:hint="eastAsia"/>
              <w:lang w:val="en-US" w:eastAsia="zh-CN"/>
            </w:rPr>
            <w:t>3</w:t>
          </w:r>
          <w:r>
            <w:rPr>
              <w:rFonts w:hint="default"/>
            </w:rPr>
            <w:t>行业产教融合共同体建设</w:t>
          </w:r>
          <w:r>
            <w:tab/>
          </w:r>
          <w:r>
            <w:fldChar w:fldCharType="begin"/>
          </w:r>
          <w:r>
            <w:instrText xml:space="preserve"> PAGEREF _Toc22034 \h </w:instrText>
          </w:r>
          <w:r>
            <w:fldChar w:fldCharType="separate"/>
          </w:r>
          <w:r>
            <w:t>36</w:t>
          </w:r>
          <w:r>
            <w:fldChar w:fldCharType="end"/>
          </w:r>
          <w:r>
            <w:fldChar w:fldCharType="end"/>
          </w:r>
        </w:p>
        <w:p w14:paraId="1179A455">
          <w:pPr>
            <w:pStyle w:val="18"/>
            <w:tabs>
              <w:tab w:val="right" w:leader="dot" w:pos="8901"/>
            </w:tabs>
          </w:pPr>
          <w:r>
            <w:fldChar w:fldCharType="begin"/>
          </w:r>
          <w:r>
            <w:instrText xml:space="preserve"> HYPERLINK \l _Toc24813 </w:instrText>
          </w:r>
          <w:r>
            <w:fldChar w:fldCharType="separate"/>
          </w:r>
          <w:r>
            <w:rPr>
              <w:rFonts w:hint="default"/>
            </w:rPr>
            <w:t>6.</w:t>
          </w:r>
          <w:r>
            <w:rPr>
              <w:rFonts w:hint="eastAsia"/>
              <w:lang w:val="en-US" w:eastAsia="zh-CN"/>
            </w:rPr>
            <w:t>3</w:t>
          </w:r>
          <w:r>
            <w:rPr>
              <w:rFonts w:hint="default"/>
            </w:rPr>
            <w:t>行业产教融合共同体建设</w:t>
          </w:r>
          <w:r>
            <w:tab/>
          </w:r>
          <w:r>
            <w:fldChar w:fldCharType="begin"/>
          </w:r>
          <w:r>
            <w:instrText xml:space="preserve"> PAGEREF _Toc24813 \h </w:instrText>
          </w:r>
          <w:r>
            <w:fldChar w:fldCharType="separate"/>
          </w:r>
          <w:r>
            <w:t>37</w:t>
          </w:r>
          <w:r>
            <w:fldChar w:fldCharType="end"/>
          </w:r>
          <w:r>
            <w:fldChar w:fldCharType="end"/>
          </w:r>
        </w:p>
        <w:p w14:paraId="2AC25DA6">
          <w:pPr>
            <w:pStyle w:val="18"/>
            <w:tabs>
              <w:tab w:val="right" w:leader="dot" w:pos="8901"/>
            </w:tabs>
          </w:pPr>
          <w:r>
            <w:fldChar w:fldCharType="begin"/>
          </w:r>
          <w:r>
            <w:instrText xml:space="preserve"> HYPERLINK \l _Toc9787 </w:instrText>
          </w:r>
          <w:r>
            <w:fldChar w:fldCharType="separate"/>
          </w:r>
          <w:r>
            <w:rPr>
              <w:rFonts w:hint="eastAsia"/>
              <w:lang w:val="en-US" w:eastAsia="zh-CN"/>
            </w:rPr>
            <w:t>6</w:t>
          </w:r>
          <w:r>
            <w:rPr>
              <w:rFonts w:hint="default"/>
              <w:lang w:val="en-US" w:eastAsia="zh-CN"/>
            </w:rPr>
            <w:t>.</w:t>
          </w:r>
          <w:r>
            <w:rPr>
              <w:rFonts w:hint="eastAsia"/>
              <w:lang w:val="en-US" w:eastAsia="zh-CN"/>
            </w:rPr>
            <w:t>4</w:t>
          </w:r>
          <w:r>
            <w:rPr>
              <w:rFonts w:hint="default"/>
              <w:lang w:val="en-US" w:eastAsia="zh-CN"/>
            </w:rPr>
            <w:t>开放型区域产教融合实践中心建设</w:t>
          </w:r>
          <w:r>
            <w:tab/>
          </w:r>
          <w:r>
            <w:fldChar w:fldCharType="begin"/>
          </w:r>
          <w:r>
            <w:instrText xml:space="preserve"> PAGEREF _Toc9787 \h </w:instrText>
          </w:r>
          <w:r>
            <w:fldChar w:fldCharType="separate"/>
          </w:r>
          <w:r>
            <w:t>38</w:t>
          </w:r>
          <w:r>
            <w:fldChar w:fldCharType="end"/>
          </w:r>
          <w:r>
            <w:fldChar w:fldCharType="end"/>
          </w:r>
        </w:p>
        <w:p w14:paraId="32A9558C">
          <w:pPr>
            <w:pStyle w:val="15"/>
            <w:tabs>
              <w:tab w:val="right" w:leader="dot" w:pos="8901"/>
            </w:tabs>
          </w:pPr>
          <w:r>
            <w:fldChar w:fldCharType="begin"/>
          </w:r>
          <w:r>
            <w:instrText xml:space="preserve"> HYPERLINK \l _Toc16739 </w:instrText>
          </w:r>
          <w:r>
            <w:fldChar w:fldCharType="separate"/>
          </w:r>
          <w:r>
            <w:rPr>
              <w:rFonts w:hint="default"/>
            </w:rPr>
            <w:t>7.发展保障</w:t>
          </w:r>
          <w:r>
            <w:tab/>
          </w:r>
          <w:r>
            <w:fldChar w:fldCharType="begin"/>
          </w:r>
          <w:r>
            <w:instrText xml:space="preserve"> PAGEREF _Toc16739 \h </w:instrText>
          </w:r>
          <w:r>
            <w:fldChar w:fldCharType="separate"/>
          </w:r>
          <w:r>
            <w:t>39</w:t>
          </w:r>
          <w:r>
            <w:fldChar w:fldCharType="end"/>
          </w:r>
          <w:r>
            <w:fldChar w:fldCharType="end"/>
          </w:r>
        </w:p>
        <w:p w14:paraId="7C949228">
          <w:pPr>
            <w:pStyle w:val="18"/>
            <w:tabs>
              <w:tab w:val="right" w:leader="dot" w:pos="8901"/>
            </w:tabs>
          </w:pPr>
          <w:r>
            <w:fldChar w:fldCharType="begin"/>
          </w:r>
          <w:r>
            <w:instrText xml:space="preserve"> HYPERLINK \l _Toc6309 </w:instrText>
          </w:r>
          <w:r>
            <w:fldChar w:fldCharType="separate"/>
          </w:r>
          <w:r>
            <w:rPr>
              <w:rFonts w:hint="default"/>
            </w:rPr>
            <w:t>7.1政策落实</w:t>
          </w:r>
          <w:r>
            <w:tab/>
          </w:r>
          <w:r>
            <w:fldChar w:fldCharType="begin"/>
          </w:r>
          <w:r>
            <w:instrText xml:space="preserve"> PAGEREF _Toc6309 \h </w:instrText>
          </w:r>
          <w:r>
            <w:fldChar w:fldCharType="separate"/>
          </w:r>
          <w:r>
            <w:t>39</w:t>
          </w:r>
          <w:r>
            <w:fldChar w:fldCharType="end"/>
          </w:r>
          <w:r>
            <w:fldChar w:fldCharType="end"/>
          </w:r>
        </w:p>
        <w:p w14:paraId="3BA8ED89">
          <w:pPr>
            <w:pStyle w:val="18"/>
            <w:tabs>
              <w:tab w:val="right" w:leader="dot" w:pos="8901"/>
            </w:tabs>
          </w:pPr>
          <w:r>
            <w:fldChar w:fldCharType="begin"/>
          </w:r>
          <w:r>
            <w:instrText xml:space="preserve"> HYPERLINK \l _Toc6880 </w:instrText>
          </w:r>
          <w:r>
            <w:fldChar w:fldCharType="separate"/>
          </w:r>
          <w:r>
            <w:rPr>
              <w:rFonts w:hint="default"/>
            </w:rPr>
            <w:t>7.2学校治理</w:t>
          </w:r>
          <w:r>
            <w:tab/>
          </w:r>
          <w:r>
            <w:fldChar w:fldCharType="begin"/>
          </w:r>
          <w:r>
            <w:instrText xml:space="preserve"> PAGEREF _Toc6880 \h </w:instrText>
          </w:r>
          <w:r>
            <w:fldChar w:fldCharType="separate"/>
          </w:r>
          <w:r>
            <w:t>40</w:t>
          </w:r>
          <w:r>
            <w:fldChar w:fldCharType="end"/>
          </w:r>
          <w:r>
            <w:fldChar w:fldCharType="end"/>
          </w:r>
        </w:p>
        <w:p w14:paraId="5F15F4B1">
          <w:pPr>
            <w:pStyle w:val="18"/>
            <w:tabs>
              <w:tab w:val="right" w:leader="dot" w:pos="8901"/>
            </w:tabs>
          </w:pPr>
          <w:r>
            <w:fldChar w:fldCharType="begin"/>
          </w:r>
          <w:r>
            <w:instrText xml:space="preserve"> HYPERLINK \l _Toc13727 </w:instrText>
          </w:r>
          <w:r>
            <w:fldChar w:fldCharType="separate"/>
          </w:r>
          <w:r>
            <w:rPr>
              <w:rFonts w:hint="default"/>
            </w:rPr>
            <w:t>7.3质量保障</w:t>
          </w:r>
          <w:r>
            <w:tab/>
          </w:r>
          <w:r>
            <w:fldChar w:fldCharType="begin"/>
          </w:r>
          <w:r>
            <w:instrText xml:space="preserve"> PAGEREF _Toc13727 \h </w:instrText>
          </w:r>
          <w:r>
            <w:fldChar w:fldCharType="separate"/>
          </w:r>
          <w:r>
            <w:t>41</w:t>
          </w:r>
          <w:r>
            <w:fldChar w:fldCharType="end"/>
          </w:r>
          <w:r>
            <w:fldChar w:fldCharType="end"/>
          </w:r>
        </w:p>
        <w:p w14:paraId="5422C580">
          <w:pPr>
            <w:pStyle w:val="18"/>
            <w:tabs>
              <w:tab w:val="right" w:leader="dot" w:pos="8901"/>
            </w:tabs>
          </w:pPr>
          <w:r>
            <w:fldChar w:fldCharType="begin"/>
          </w:r>
          <w:r>
            <w:instrText xml:space="preserve"> HYPERLINK \l _Toc5311 </w:instrText>
          </w:r>
          <w:r>
            <w:fldChar w:fldCharType="separate"/>
          </w:r>
          <w:r>
            <w:rPr>
              <w:rFonts w:hint="default"/>
            </w:rPr>
            <w:t>7.4经费投入</w:t>
          </w:r>
          <w:r>
            <w:tab/>
          </w:r>
          <w:r>
            <w:fldChar w:fldCharType="begin"/>
          </w:r>
          <w:r>
            <w:instrText xml:space="preserve"> PAGEREF _Toc5311 \h </w:instrText>
          </w:r>
          <w:r>
            <w:fldChar w:fldCharType="separate"/>
          </w:r>
          <w:r>
            <w:t>42</w:t>
          </w:r>
          <w:r>
            <w:fldChar w:fldCharType="end"/>
          </w:r>
          <w:r>
            <w:fldChar w:fldCharType="end"/>
          </w:r>
        </w:p>
        <w:p w14:paraId="33DE12AB">
          <w:pPr>
            <w:pStyle w:val="15"/>
            <w:tabs>
              <w:tab w:val="right" w:leader="dot" w:pos="8901"/>
            </w:tabs>
          </w:pPr>
          <w:r>
            <w:fldChar w:fldCharType="begin"/>
          </w:r>
          <w:r>
            <w:instrText xml:space="preserve"> HYPERLINK \l _Toc28217 </w:instrText>
          </w:r>
          <w:r>
            <w:fldChar w:fldCharType="separate"/>
          </w:r>
          <w:r>
            <w:rPr>
              <w:rFonts w:hint="default"/>
            </w:rPr>
            <w:t>8.挑战与展望</w:t>
          </w:r>
          <w:r>
            <w:tab/>
          </w:r>
          <w:r>
            <w:fldChar w:fldCharType="begin"/>
          </w:r>
          <w:r>
            <w:instrText xml:space="preserve"> PAGEREF _Toc28217 \h </w:instrText>
          </w:r>
          <w:r>
            <w:fldChar w:fldCharType="separate"/>
          </w:r>
          <w:r>
            <w:t>44</w:t>
          </w:r>
          <w:r>
            <w:fldChar w:fldCharType="end"/>
          </w:r>
          <w:r>
            <w:fldChar w:fldCharType="end"/>
          </w:r>
        </w:p>
        <w:p w14:paraId="1E7F9D84">
          <w:pPr>
            <w:pStyle w:val="18"/>
            <w:tabs>
              <w:tab w:val="right" w:leader="dot" w:pos="8901"/>
            </w:tabs>
          </w:pPr>
          <w:r>
            <w:fldChar w:fldCharType="begin"/>
          </w:r>
          <w:r>
            <w:instrText xml:space="preserve"> HYPERLINK \l _Toc11882 </w:instrText>
          </w:r>
          <w:r>
            <w:fldChar w:fldCharType="separate"/>
          </w:r>
          <w:r>
            <w:rPr>
              <w:rFonts w:hint="default"/>
            </w:rPr>
            <w:t>8.1面临挑战</w:t>
          </w:r>
          <w:r>
            <w:tab/>
          </w:r>
          <w:r>
            <w:fldChar w:fldCharType="begin"/>
          </w:r>
          <w:r>
            <w:instrText xml:space="preserve"> PAGEREF _Toc11882 \h </w:instrText>
          </w:r>
          <w:r>
            <w:fldChar w:fldCharType="separate"/>
          </w:r>
          <w:r>
            <w:t>44</w:t>
          </w:r>
          <w:r>
            <w:fldChar w:fldCharType="end"/>
          </w:r>
          <w:r>
            <w:fldChar w:fldCharType="end"/>
          </w:r>
        </w:p>
        <w:p w14:paraId="1191471E">
          <w:pPr>
            <w:pStyle w:val="18"/>
            <w:tabs>
              <w:tab w:val="right" w:leader="dot" w:pos="8901"/>
            </w:tabs>
          </w:pPr>
          <w:r>
            <w:fldChar w:fldCharType="begin"/>
          </w:r>
          <w:r>
            <w:instrText xml:space="preserve"> HYPERLINK \l _Toc13415 </w:instrText>
          </w:r>
          <w:r>
            <w:fldChar w:fldCharType="separate"/>
          </w:r>
          <w:r>
            <w:rPr>
              <w:rFonts w:hint="default"/>
            </w:rPr>
            <w:t>8.2未来展望</w:t>
          </w:r>
          <w:r>
            <w:tab/>
          </w:r>
          <w:r>
            <w:fldChar w:fldCharType="begin"/>
          </w:r>
          <w:r>
            <w:instrText xml:space="preserve"> PAGEREF _Toc13415 \h </w:instrText>
          </w:r>
          <w:r>
            <w:fldChar w:fldCharType="separate"/>
          </w:r>
          <w:r>
            <w:t>45</w:t>
          </w:r>
          <w:r>
            <w:fldChar w:fldCharType="end"/>
          </w:r>
          <w:r>
            <w:fldChar w:fldCharType="end"/>
          </w:r>
        </w:p>
        <w:p w14:paraId="730328E3">
          <w:r>
            <w:fldChar w:fldCharType="end"/>
          </w:r>
        </w:p>
      </w:sdtContent>
    </w:sdt>
    <w:p w14:paraId="2F869A08">
      <w:pPr>
        <w:ind w:left="0" w:leftChars="0" w:firstLine="0" w:firstLineChars="0"/>
        <w:jc w:val="center"/>
        <w:rPr>
          <w:rFonts w:hint="eastAsia"/>
          <w:b/>
          <w:bCs/>
          <w:lang w:val="en-US" w:eastAsia="zh-CN"/>
        </w:rPr>
      </w:pPr>
      <w:r>
        <w:rPr>
          <w:rFonts w:hint="eastAsia"/>
          <w:b/>
          <w:bCs/>
          <w:lang w:val="en-US" w:eastAsia="zh-CN"/>
        </w:rPr>
        <w:t>表目录</w:t>
      </w:r>
    </w:p>
    <w:p w14:paraId="4A8564D4">
      <w:pPr>
        <w:pStyle w:val="17"/>
        <w:tabs>
          <w:tab w:val="right" w:leader="dot" w:pos="8901"/>
        </w:tabs>
      </w:pPr>
      <w:r>
        <w:rPr>
          <w:rFonts w:hint="eastAsia"/>
          <w:b/>
          <w:bCs/>
          <w:lang w:val="en-US" w:eastAsia="zh-CN"/>
        </w:rPr>
        <w:fldChar w:fldCharType="begin"/>
      </w:r>
      <w:r>
        <w:rPr>
          <w:rFonts w:hint="eastAsia"/>
          <w:b/>
          <w:bCs/>
          <w:lang w:val="en-US" w:eastAsia="zh-CN"/>
        </w:rPr>
        <w:instrText xml:space="preserve">TOC \h \c "表"</w:instrText>
      </w:r>
      <w:r>
        <w:rPr>
          <w:rFonts w:hint="eastAsia"/>
          <w:b/>
          <w:bCs/>
          <w:lang w:val="en-US" w:eastAsia="zh-CN"/>
        </w:rPr>
        <w:fldChar w:fldCharType="separate"/>
      </w:r>
      <w:r>
        <w:rPr>
          <w:rFonts w:hint="eastAsia"/>
          <w:bCs/>
          <w:lang w:val="en-US" w:eastAsia="zh-CN"/>
        </w:rPr>
        <w:fldChar w:fldCharType="begin"/>
      </w:r>
      <w:r>
        <w:rPr>
          <w:rFonts w:hint="eastAsia"/>
          <w:bCs/>
          <w:lang w:val="en-US" w:eastAsia="zh-CN"/>
        </w:rPr>
        <w:instrText xml:space="preserve"> HYPERLINK \l _Toc6622 </w:instrText>
      </w:r>
      <w:r>
        <w:rPr>
          <w:rFonts w:hint="eastAsia"/>
          <w:bCs/>
          <w:lang w:val="en-US" w:eastAsia="zh-CN"/>
        </w:rPr>
        <w:fldChar w:fldCharType="separate"/>
      </w:r>
      <w:r>
        <w:t xml:space="preserve">表 1 </w:t>
      </w:r>
      <w:r>
        <w:rPr>
          <w:rFonts w:hint="eastAsia"/>
          <w:lang w:eastAsia="zh-CN"/>
        </w:rPr>
        <w:t>：专业开设情况</w:t>
      </w:r>
      <w:r>
        <w:tab/>
      </w:r>
      <w:r>
        <w:fldChar w:fldCharType="begin"/>
      </w:r>
      <w:r>
        <w:instrText xml:space="preserve"> PAGEREF _Toc6622 \h </w:instrText>
      </w:r>
      <w:r>
        <w:fldChar w:fldCharType="separate"/>
      </w:r>
      <w:r>
        <w:t>2</w:t>
      </w:r>
      <w:r>
        <w:fldChar w:fldCharType="end"/>
      </w:r>
      <w:r>
        <w:rPr>
          <w:rFonts w:hint="eastAsia"/>
          <w:bCs/>
          <w:lang w:val="en-US" w:eastAsia="zh-CN"/>
        </w:rPr>
        <w:fldChar w:fldCharType="end"/>
      </w:r>
    </w:p>
    <w:p w14:paraId="40BF3D23">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_Toc17029 </w:instrText>
      </w:r>
      <w:r>
        <w:rPr>
          <w:rFonts w:hint="eastAsia"/>
          <w:bCs/>
          <w:lang w:val="en-US" w:eastAsia="zh-CN"/>
        </w:rPr>
        <w:fldChar w:fldCharType="separate"/>
      </w:r>
      <w:r>
        <w:t xml:space="preserve">表 2 </w:t>
      </w:r>
      <w:r>
        <w:rPr>
          <w:rFonts w:hint="eastAsia"/>
          <w:lang w:eastAsia="zh-CN"/>
        </w:rPr>
        <w:t>：在校生各年级男女生占比、生源情况</w:t>
      </w:r>
      <w:r>
        <w:tab/>
      </w:r>
      <w:r>
        <w:fldChar w:fldCharType="begin"/>
      </w:r>
      <w:r>
        <w:instrText xml:space="preserve"> PAGEREF _Toc17029 \h </w:instrText>
      </w:r>
      <w:r>
        <w:fldChar w:fldCharType="separate"/>
      </w:r>
      <w:r>
        <w:t>3</w:t>
      </w:r>
      <w:r>
        <w:fldChar w:fldCharType="end"/>
      </w:r>
      <w:r>
        <w:rPr>
          <w:rFonts w:hint="eastAsia"/>
          <w:bCs/>
          <w:lang w:val="en-US" w:eastAsia="zh-CN"/>
        </w:rPr>
        <w:fldChar w:fldCharType="end"/>
      </w:r>
    </w:p>
    <w:p w14:paraId="5AC36FD3">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_Toc15129 </w:instrText>
      </w:r>
      <w:r>
        <w:rPr>
          <w:rFonts w:hint="eastAsia"/>
          <w:bCs/>
          <w:lang w:val="en-US" w:eastAsia="zh-CN"/>
        </w:rPr>
        <w:fldChar w:fldCharType="separate"/>
      </w:r>
      <w:r>
        <w:t xml:space="preserve">表 3 </w:t>
      </w:r>
      <w:r>
        <w:rPr>
          <w:rFonts w:hint="eastAsia"/>
          <w:lang w:eastAsia="zh-CN"/>
        </w:rPr>
        <w:t>：德育主题活动安排表</w:t>
      </w:r>
      <w:r>
        <w:tab/>
      </w:r>
      <w:r>
        <w:fldChar w:fldCharType="begin"/>
      </w:r>
      <w:r>
        <w:instrText xml:space="preserve"> PAGEREF _Toc15129 \h </w:instrText>
      </w:r>
      <w:r>
        <w:fldChar w:fldCharType="separate"/>
      </w:r>
      <w:r>
        <w:t>8</w:t>
      </w:r>
      <w:r>
        <w:fldChar w:fldCharType="end"/>
      </w:r>
      <w:r>
        <w:rPr>
          <w:rFonts w:hint="eastAsia"/>
          <w:bCs/>
          <w:lang w:val="en-US" w:eastAsia="zh-CN"/>
        </w:rPr>
        <w:fldChar w:fldCharType="end"/>
      </w:r>
    </w:p>
    <w:p w14:paraId="48F790CC">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_Toc3889 </w:instrText>
      </w:r>
      <w:r>
        <w:rPr>
          <w:rFonts w:hint="eastAsia"/>
          <w:bCs/>
          <w:lang w:val="en-US" w:eastAsia="zh-CN"/>
        </w:rPr>
        <w:fldChar w:fldCharType="separate"/>
      </w:r>
      <w:r>
        <w:t xml:space="preserve">表 4 </w:t>
      </w:r>
      <w:r>
        <w:rPr>
          <w:rFonts w:hint="eastAsia"/>
          <w:lang w:eastAsia="zh-CN"/>
        </w:rPr>
        <w:t>：各专业在校生数据</w:t>
      </w:r>
      <w:r>
        <w:tab/>
      </w:r>
      <w:r>
        <w:fldChar w:fldCharType="begin"/>
      </w:r>
      <w:r>
        <w:instrText xml:space="preserve"> PAGEREF _Toc3889 \h </w:instrText>
      </w:r>
      <w:r>
        <w:fldChar w:fldCharType="separate"/>
      </w:r>
      <w:r>
        <w:t>14</w:t>
      </w:r>
      <w:r>
        <w:fldChar w:fldCharType="end"/>
      </w:r>
      <w:r>
        <w:rPr>
          <w:rFonts w:hint="eastAsia"/>
          <w:bCs/>
          <w:lang w:val="en-US" w:eastAsia="zh-CN"/>
        </w:rPr>
        <w:fldChar w:fldCharType="end"/>
      </w:r>
    </w:p>
    <w:p w14:paraId="3D10AEAE">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_Toc15520 </w:instrText>
      </w:r>
      <w:r>
        <w:rPr>
          <w:rFonts w:hint="eastAsia"/>
          <w:bCs/>
          <w:lang w:val="en-US" w:eastAsia="zh-CN"/>
        </w:rPr>
        <w:fldChar w:fldCharType="separate"/>
      </w:r>
      <w:r>
        <w:t xml:space="preserve">表 5 </w:t>
      </w:r>
      <w:r>
        <w:rPr>
          <w:rFonts w:hint="eastAsia"/>
          <w:lang w:eastAsia="zh-CN"/>
        </w:rPr>
        <w:t>：教师年度培训开展情况</w:t>
      </w:r>
      <w:r>
        <w:tab/>
      </w:r>
      <w:r>
        <w:fldChar w:fldCharType="begin"/>
      </w:r>
      <w:r>
        <w:instrText xml:space="preserve"> PAGEREF _Toc15520 \h </w:instrText>
      </w:r>
      <w:r>
        <w:fldChar w:fldCharType="separate"/>
      </w:r>
      <w:r>
        <w:t>18</w:t>
      </w:r>
      <w:r>
        <w:fldChar w:fldCharType="end"/>
      </w:r>
      <w:r>
        <w:rPr>
          <w:rFonts w:hint="eastAsia"/>
          <w:bCs/>
          <w:lang w:val="en-US" w:eastAsia="zh-CN"/>
        </w:rPr>
        <w:fldChar w:fldCharType="end"/>
      </w:r>
    </w:p>
    <w:p w14:paraId="1EB47764">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_Toc4475 </w:instrText>
      </w:r>
      <w:r>
        <w:rPr>
          <w:rFonts w:hint="eastAsia"/>
          <w:bCs/>
          <w:lang w:val="en-US" w:eastAsia="zh-CN"/>
        </w:rPr>
        <w:fldChar w:fldCharType="separate"/>
      </w:r>
      <w:r>
        <w:t xml:space="preserve">表 6 </w:t>
      </w:r>
      <w:r>
        <w:rPr>
          <w:rFonts w:hint="eastAsia"/>
          <w:lang w:eastAsia="zh-CN"/>
        </w:rPr>
        <w:t>：2025年就业生去向区域分布情况</w:t>
      </w:r>
      <w:r>
        <w:tab/>
      </w:r>
      <w:r>
        <w:fldChar w:fldCharType="begin"/>
      </w:r>
      <w:r>
        <w:instrText xml:space="preserve"> PAGEREF _Toc4475 \h </w:instrText>
      </w:r>
      <w:r>
        <w:fldChar w:fldCharType="separate"/>
      </w:r>
      <w:r>
        <w:t>24</w:t>
      </w:r>
      <w:r>
        <w:fldChar w:fldCharType="end"/>
      </w:r>
      <w:r>
        <w:rPr>
          <w:rFonts w:hint="eastAsia"/>
          <w:bCs/>
          <w:lang w:val="en-US" w:eastAsia="zh-CN"/>
        </w:rPr>
        <w:fldChar w:fldCharType="end"/>
      </w:r>
    </w:p>
    <w:p w14:paraId="2288AACD">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_Toc23363 </w:instrText>
      </w:r>
      <w:r>
        <w:rPr>
          <w:rFonts w:hint="eastAsia"/>
          <w:bCs/>
          <w:lang w:val="en-US" w:eastAsia="zh-CN"/>
        </w:rPr>
        <w:fldChar w:fldCharType="separate"/>
      </w:r>
      <w:r>
        <w:t xml:space="preserve">表 7 </w:t>
      </w:r>
      <w:r>
        <w:rPr>
          <w:rFonts w:hint="eastAsia"/>
          <w:lang w:eastAsia="zh-CN"/>
        </w:rPr>
        <w:t>：2025年毕业生各专业平均薪资情况</w:t>
      </w:r>
      <w:r>
        <w:tab/>
      </w:r>
      <w:r>
        <w:fldChar w:fldCharType="begin"/>
      </w:r>
      <w:r>
        <w:instrText xml:space="preserve"> PAGEREF _Toc23363 \h </w:instrText>
      </w:r>
      <w:r>
        <w:fldChar w:fldCharType="separate"/>
      </w:r>
      <w:r>
        <w:t>24</w:t>
      </w:r>
      <w:r>
        <w:fldChar w:fldCharType="end"/>
      </w:r>
      <w:r>
        <w:rPr>
          <w:rFonts w:hint="eastAsia"/>
          <w:bCs/>
          <w:lang w:val="en-US" w:eastAsia="zh-CN"/>
        </w:rPr>
        <w:fldChar w:fldCharType="end"/>
      </w:r>
    </w:p>
    <w:p w14:paraId="31B9DA74">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_Toc30808 </w:instrText>
      </w:r>
      <w:r>
        <w:rPr>
          <w:rFonts w:hint="eastAsia"/>
          <w:bCs/>
          <w:lang w:val="en-US" w:eastAsia="zh-CN"/>
        </w:rPr>
        <w:fldChar w:fldCharType="separate"/>
      </w:r>
      <w:r>
        <w:t xml:space="preserve">表 8 </w:t>
      </w:r>
      <w:r>
        <w:rPr>
          <w:rFonts w:hint="eastAsia"/>
          <w:lang w:eastAsia="zh-CN"/>
        </w:rPr>
        <w:t>：2025年度校企合作单位</w:t>
      </w:r>
      <w:r>
        <w:tab/>
      </w:r>
      <w:r>
        <w:fldChar w:fldCharType="begin"/>
      </w:r>
      <w:r>
        <w:instrText xml:space="preserve"> PAGEREF _Toc30808 \h </w:instrText>
      </w:r>
      <w:r>
        <w:fldChar w:fldCharType="separate"/>
      </w:r>
      <w:r>
        <w:t>27</w:t>
      </w:r>
      <w:r>
        <w:fldChar w:fldCharType="end"/>
      </w:r>
      <w:r>
        <w:rPr>
          <w:rFonts w:hint="eastAsia"/>
          <w:bCs/>
          <w:lang w:val="en-US" w:eastAsia="zh-CN"/>
        </w:rPr>
        <w:fldChar w:fldCharType="end"/>
      </w:r>
    </w:p>
    <w:p w14:paraId="7E3F3D77">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_Toc9768 </w:instrText>
      </w:r>
      <w:r>
        <w:rPr>
          <w:rFonts w:hint="eastAsia"/>
          <w:bCs/>
          <w:lang w:val="en-US" w:eastAsia="zh-CN"/>
        </w:rPr>
        <w:fldChar w:fldCharType="separate"/>
      </w:r>
      <w:r>
        <w:t xml:space="preserve">表 9 </w:t>
      </w:r>
      <w:r>
        <w:rPr>
          <w:rFonts w:hint="eastAsia"/>
          <w:lang w:eastAsia="zh-CN"/>
        </w:rPr>
        <w:t>：2025年承办公益培训项目</w:t>
      </w:r>
      <w:r>
        <w:tab/>
      </w:r>
      <w:r>
        <w:fldChar w:fldCharType="begin"/>
      </w:r>
      <w:r>
        <w:instrText xml:space="preserve"> PAGEREF _Toc9768 \h </w:instrText>
      </w:r>
      <w:r>
        <w:fldChar w:fldCharType="separate"/>
      </w:r>
      <w:r>
        <w:t>28</w:t>
      </w:r>
      <w:r>
        <w:fldChar w:fldCharType="end"/>
      </w:r>
      <w:r>
        <w:rPr>
          <w:rFonts w:hint="eastAsia"/>
          <w:bCs/>
          <w:lang w:val="en-US" w:eastAsia="zh-CN"/>
        </w:rPr>
        <w:fldChar w:fldCharType="end"/>
      </w:r>
    </w:p>
    <w:p w14:paraId="62F0CAFE">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_Toc31159 </w:instrText>
      </w:r>
      <w:r>
        <w:rPr>
          <w:rFonts w:hint="eastAsia"/>
          <w:bCs/>
          <w:lang w:val="en-US" w:eastAsia="zh-CN"/>
        </w:rPr>
        <w:fldChar w:fldCharType="separate"/>
      </w:r>
      <w:r>
        <w:t xml:space="preserve">表 10 </w:t>
      </w:r>
      <w:r>
        <w:rPr>
          <w:rFonts w:hint="eastAsia"/>
          <w:lang w:eastAsia="zh-CN"/>
        </w:rPr>
        <w:t>：2025年职业技能鉴定人数</w:t>
      </w:r>
      <w:r>
        <w:tab/>
      </w:r>
      <w:r>
        <w:fldChar w:fldCharType="begin"/>
      </w:r>
      <w:r>
        <w:instrText xml:space="preserve"> PAGEREF _Toc31159 \h </w:instrText>
      </w:r>
      <w:r>
        <w:fldChar w:fldCharType="separate"/>
      </w:r>
      <w:r>
        <w:t>35</w:t>
      </w:r>
      <w:r>
        <w:fldChar w:fldCharType="end"/>
      </w:r>
      <w:r>
        <w:rPr>
          <w:rFonts w:hint="eastAsia"/>
          <w:bCs/>
          <w:lang w:val="en-US" w:eastAsia="zh-CN"/>
        </w:rPr>
        <w:fldChar w:fldCharType="end"/>
      </w:r>
    </w:p>
    <w:p w14:paraId="1EFB0621">
      <w:pPr>
        <w:pStyle w:val="17"/>
        <w:tabs>
          <w:tab w:val="right" w:leader="dot" w:pos="8901"/>
        </w:tabs>
      </w:pPr>
      <w:r>
        <w:rPr>
          <w:rFonts w:hint="eastAsia"/>
          <w:bCs/>
          <w:lang w:val="en-US" w:eastAsia="zh-CN"/>
        </w:rPr>
        <w:fldChar w:fldCharType="begin"/>
      </w:r>
      <w:r>
        <w:rPr>
          <w:rFonts w:hint="eastAsia"/>
          <w:bCs/>
          <w:lang w:val="en-US" w:eastAsia="zh-CN"/>
        </w:rPr>
        <w:instrText xml:space="preserve"> HYPERLINK \l _Toc7533 </w:instrText>
      </w:r>
      <w:r>
        <w:rPr>
          <w:rFonts w:hint="eastAsia"/>
          <w:bCs/>
          <w:lang w:val="en-US" w:eastAsia="zh-CN"/>
        </w:rPr>
        <w:fldChar w:fldCharType="separate"/>
      </w:r>
      <w:r>
        <w:t xml:space="preserve">表 11 </w:t>
      </w:r>
      <w:r>
        <w:rPr>
          <w:rFonts w:hint="eastAsia"/>
          <w:lang w:eastAsia="zh-CN"/>
        </w:rPr>
        <w:t>：2025年投入情况</w:t>
      </w:r>
      <w:r>
        <w:tab/>
      </w:r>
      <w:r>
        <w:fldChar w:fldCharType="begin"/>
      </w:r>
      <w:r>
        <w:instrText xml:space="preserve"> PAGEREF _Toc7533 \h </w:instrText>
      </w:r>
      <w:r>
        <w:fldChar w:fldCharType="separate"/>
      </w:r>
      <w:r>
        <w:t>43</w:t>
      </w:r>
      <w:r>
        <w:fldChar w:fldCharType="end"/>
      </w:r>
      <w:r>
        <w:rPr>
          <w:rFonts w:hint="eastAsia"/>
          <w:bCs/>
          <w:lang w:val="en-US" w:eastAsia="zh-CN"/>
        </w:rPr>
        <w:fldChar w:fldCharType="end"/>
      </w:r>
    </w:p>
    <w:p w14:paraId="11A15B14">
      <w:pPr>
        <w:ind w:left="0" w:leftChars="0" w:firstLine="0" w:firstLineChars="0"/>
        <w:jc w:val="both"/>
      </w:pPr>
      <w:r>
        <w:rPr>
          <w:rFonts w:hint="eastAsia"/>
          <w:bCs/>
          <w:lang w:val="en-US" w:eastAsia="zh-CN"/>
        </w:rPr>
        <w:fldChar w:fldCharType="end"/>
      </w:r>
    </w:p>
    <w:p w14:paraId="5330DF5F">
      <w:pPr>
        <w:pStyle w:val="17"/>
        <w:tabs>
          <w:tab w:val="right" w:leader="dot" w:pos="8845"/>
        </w:tabs>
        <w:ind w:left="0" w:leftChars="0" w:firstLine="0" w:firstLineChars="0"/>
        <w:jc w:val="center"/>
        <w:rPr>
          <w:rFonts w:hint="eastAsia"/>
          <w:b/>
          <w:bCs/>
          <w:sz w:val="24"/>
          <w:szCs w:val="24"/>
          <w:lang w:val="en-US" w:eastAsia="zh-CN"/>
        </w:rPr>
      </w:pPr>
      <w:r>
        <w:rPr>
          <w:rFonts w:hint="eastAsia" w:ascii="Times New Roman" w:hAnsi="Times New Roman" w:eastAsia="仿宋_GB2312" w:cs="仿宋_GB2312"/>
          <w:b/>
          <w:bCs/>
          <w:kern w:val="2"/>
          <w:sz w:val="32"/>
          <w:szCs w:val="32"/>
          <w:lang w:val="en-US" w:eastAsia="zh-CN"/>
        </w:rPr>
        <w:t>图目录</w:t>
      </w:r>
    </w:p>
    <w:p w14:paraId="2BA3FA04">
      <w:pPr>
        <w:pStyle w:val="17"/>
        <w:tabs>
          <w:tab w:val="right" w:leader="dot" w:pos="8901"/>
        </w:tabs>
      </w:pPr>
      <w:r>
        <w:rPr>
          <w:rFonts w:hint="default"/>
          <w:sz w:val="24"/>
          <w:szCs w:val="24"/>
          <w:lang w:val="en-US" w:eastAsia="zh-CN"/>
        </w:rPr>
        <w:fldChar w:fldCharType="begin"/>
      </w:r>
      <w:r>
        <w:rPr>
          <w:rFonts w:hint="default"/>
          <w:sz w:val="24"/>
          <w:szCs w:val="24"/>
          <w:lang w:val="en-US" w:eastAsia="zh-CN"/>
        </w:rPr>
        <w:instrText xml:space="preserve">TOC \h \c "图"</w:instrText>
      </w:r>
      <w:r>
        <w:rPr>
          <w:rFonts w:hint="default"/>
          <w:sz w:val="24"/>
          <w:szCs w:val="24"/>
          <w:lang w:val="en-US" w:eastAsia="zh-CN"/>
        </w:rPr>
        <w:fldChar w:fldCharType="separate"/>
      </w:r>
      <w:r>
        <w:rPr>
          <w:rFonts w:hint="default"/>
          <w:szCs w:val="24"/>
          <w:lang w:val="en-US" w:eastAsia="zh-CN"/>
        </w:rPr>
        <w:fldChar w:fldCharType="begin"/>
      </w:r>
      <w:r>
        <w:rPr>
          <w:rFonts w:hint="default"/>
          <w:szCs w:val="24"/>
          <w:lang w:val="en-US" w:eastAsia="zh-CN"/>
        </w:rPr>
        <w:instrText xml:space="preserve"> HYPERLINK \l _Toc22128 </w:instrText>
      </w:r>
      <w:r>
        <w:rPr>
          <w:rFonts w:hint="default"/>
          <w:szCs w:val="24"/>
          <w:lang w:val="en-US" w:eastAsia="zh-CN"/>
        </w:rPr>
        <w:fldChar w:fldCharType="separate"/>
      </w:r>
      <w:r>
        <w:rPr>
          <w:szCs w:val="24"/>
        </w:rPr>
        <w:t xml:space="preserve">图 </w:t>
      </w:r>
      <w:r>
        <w:t xml:space="preserve">1 </w:t>
      </w:r>
      <w:r>
        <w:rPr>
          <w:rFonts w:hint="eastAsia"/>
          <w:szCs w:val="24"/>
          <w:lang w:eastAsia="zh-CN"/>
        </w:rPr>
        <w:t>：追寻红色足迹</w:t>
      </w:r>
      <w:r>
        <w:rPr>
          <w:rFonts w:hint="eastAsia"/>
          <w:szCs w:val="24"/>
          <w:lang w:val="en-US" w:eastAsia="zh-CN"/>
        </w:rPr>
        <w:t xml:space="preserve"> 缅怀革命先烈</w:t>
      </w:r>
      <w:r>
        <w:tab/>
      </w:r>
      <w:r>
        <w:fldChar w:fldCharType="begin"/>
      </w:r>
      <w:r>
        <w:instrText xml:space="preserve"> PAGEREF _Toc22128 \h </w:instrText>
      </w:r>
      <w:r>
        <w:fldChar w:fldCharType="separate"/>
      </w:r>
      <w:r>
        <w:t>6</w:t>
      </w:r>
      <w:r>
        <w:fldChar w:fldCharType="end"/>
      </w:r>
      <w:r>
        <w:rPr>
          <w:rFonts w:hint="default"/>
          <w:szCs w:val="24"/>
          <w:lang w:val="en-US" w:eastAsia="zh-CN"/>
        </w:rPr>
        <w:fldChar w:fldCharType="end"/>
      </w:r>
    </w:p>
    <w:p w14:paraId="6F7E3F4F">
      <w:pPr>
        <w:pStyle w:val="17"/>
        <w:tabs>
          <w:tab w:val="right" w:leader="dot" w:pos="8901"/>
        </w:tabs>
      </w:pPr>
      <w:r>
        <w:rPr>
          <w:rFonts w:hint="default"/>
          <w:lang w:val="en-US" w:eastAsia="zh-CN"/>
        </w:rPr>
        <w:fldChar w:fldCharType="begin"/>
      </w:r>
      <w:r>
        <w:rPr>
          <w:rFonts w:hint="default"/>
          <w:lang w:val="en-US" w:eastAsia="zh-CN"/>
        </w:rPr>
        <w:instrText xml:space="preserve"> HYPERLINK \l _Toc22568 </w:instrText>
      </w:r>
      <w:r>
        <w:rPr>
          <w:rFonts w:hint="default"/>
          <w:lang w:val="en-US" w:eastAsia="zh-CN"/>
        </w:rPr>
        <w:fldChar w:fldCharType="separate"/>
      </w:r>
      <w:r>
        <w:rPr>
          <w:szCs w:val="24"/>
        </w:rPr>
        <w:t xml:space="preserve">图 </w:t>
      </w:r>
      <w:r>
        <w:t xml:space="preserve">2 </w:t>
      </w:r>
      <w:r>
        <w:rPr>
          <w:rFonts w:hint="eastAsia"/>
          <w:szCs w:val="24"/>
          <w:lang w:eastAsia="zh-CN"/>
        </w:rPr>
        <w:t>：传承雷锋精神，争做时代新人</w:t>
      </w:r>
      <w:r>
        <w:tab/>
      </w:r>
      <w:r>
        <w:fldChar w:fldCharType="begin"/>
      </w:r>
      <w:r>
        <w:instrText xml:space="preserve"> PAGEREF _Toc22568 \h </w:instrText>
      </w:r>
      <w:r>
        <w:fldChar w:fldCharType="separate"/>
      </w:r>
      <w:r>
        <w:t>7</w:t>
      </w:r>
      <w:r>
        <w:fldChar w:fldCharType="end"/>
      </w:r>
      <w:r>
        <w:rPr>
          <w:rFonts w:hint="default"/>
          <w:lang w:val="en-US" w:eastAsia="zh-CN"/>
        </w:rPr>
        <w:fldChar w:fldCharType="end"/>
      </w:r>
    </w:p>
    <w:p w14:paraId="2BE8825D">
      <w:pPr>
        <w:pStyle w:val="17"/>
        <w:tabs>
          <w:tab w:val="right" w:leader="dot" w:pos="8901"/>
        </w:tabs>
      </w:pPr>
      <w:r>
        <w:rPr>
          <w:rFonts w:hint="default"/>
          <w:lang w:val="en-US" w:eastAsia="zh-CN"/>
        </w:rPr>
        <w:fldChar w:fldCharType="begin"/>
      </w:r>
      <w:r>
        <w:rPr>
          <w:rFonts w:hint="default"/>
          <w:lang w:val="en-US" w:eastAsia="zh-CN"/>
        </w:rPr>
        <w:instrText xml:space="preserve"> HYPERLINK \l _Toc12896 </w:instrText>
      </w:r>
      <w:r>
        <w:rPr>
          <w:rFonts w:hint="default"/>
          <w:lang w:val="en-US" w:eastAsia="zh-CN"/>
        </w:rPr>
        <w:fldChar w:fldCharType="separate"/>
      </w:r>
      <w:r>
        <w:t xml:space="preserve">图 3 </w:t>
      </w:r>
      <w:r>
        <w:rPr>
          <w:rFonts w:hint="eastAsia"/>
          <w:lang w:eastAsia="zh-CN"/>
        </w:rPr>
        <w:t>：“职教好课堂”比赛获奖</w:t>
      </w:r>
      <w:r>
        <w:tab/>
      </w:r>
      <w:r>
        <w:fldChar w:fldCharType="begin"/>
      </w:r>
      <w:r>
        <w:instrText xml:space="preserve"> PAGEREF _Toc12896 \h </w:instrText>
      </w:r>
      <w:r>
        <w:fldChar w:fldCharType="separate"/>
      </w:r>
      <w:r>
        <w:t>19</w:t>
      </w:r>
      <w:r>
        <w:fldChar w:fldCharType="end"/>
      </w:r>
      <w:r>
        <w:rPr>
          <w:rFonts w:hint="default"/>
          <w:lang w:val="en-US" w:eastAsia="zh-CN"/>
        </w:rPr>
        <w:fldChar w:fldCharType="end"/>
      </w:r>
    </w:p>
    <w:p w14:paraId="1AE9643F">
      <w:pPr>
        <w:pStyle w:val="17"/>
        <w:tabs>
          <w:tab w:val="right" w:leader="dot" w:pos="8901"/>
        </w:tabs>
      </w:pPr>
      <w:r>
        <w:rPr>
          <w:rFonts w:hint="default"/>
          <w:lang w:val="en-US" w:eastAsia="zh-CN"/>
        </w:rPr>
        <w:fldChar w:fldCharType="begin"/>
      </w:r>
      <w:r>
        <w:rPr>
          <w:rFonts w:hint="default"/>
          <w:lang w:val="en-US" w:eastAsia="zh-CN"/>
        </w:rPr>
        <w:instrText xml:space="preserve"> HYPERLINK \l _Toc5545 </w:instrText>
      </w:r>
      <w:r>
        <w:rPr>
          <w:rFonts w:hint="default"/>
          <w:lang w:val="en-US" w:eastAsia="zh-CN"/>
        </w:rPr>
        <w:fldChar w:fldCharType="separate"/>
      </w:r>
      <w:r>
        <w:rPr>
          <w:szCs w:val="24"/>
        </w:rPr>
        <w:t xml:space="preserve">图 </w:t>
      </w:r>
      <w:r>
        <w:t xml:space="preserve">4 </w:t>
      </w:r>
      <w:r>
        <w:rPr>
          <w:rFonts w:hint="eastAsia"/>
          <w:szCs w:val="24"/>
          <w:lang w:eastAsia="zh-CN"/>
        </w:rPr>
        <w:t>：三甲专家送健康，医科义诊暖人心</w:t>
      </w:r>
      <w:r>
        <w:tab/>
      </w:r>
      <w:r>
        <w:fldChar w:fldCharType="begin"/>
      </w:r>
      <w:r>
        <w:instrText xml:space="preserve"> PAGEREF _Toc5545 \h </w:instrText>
      </w:r>
      <w:r>
        <w:fldChar w:fldCharType="separate"/>
      </w:r>
      <w:r>
        <w:t>30</w:t>
      </w:r>
      <w:r>
        <w:fldChar w:fldCharType="end"/>
      </w:r>
      <w:r>
        <w:rPr>
          <w:rFonts w:hint="default"/>
          <w:lang w:val="en-US" w:eastAsia="zh-CN"/>
        </w:rPr>
        <w:fldChar w:fldCharType="end"/>
      </w:r>
    </w:p>
    <w:p w14:paraId="5771DF12">
      <w:pPr>
        <w:pStyle w:val="17"/>
        <w:tabs>
          <w:tab w:val="right" w:leader="dot" w:pos="8901"/>
        </w:tabs>
      </w:pPr>
      <w:r>
        <w:rPr>
          <w:rFonts w:hint="default"/>
          <w:lang w:val="en-US" w:eastAsia="zh-CN"/>
        </w:rPr>
        <w:fldChar w:fldCharType="begin"/>
      </w:r>
      <w:r>
        <w:rPr>
          <w:rFonts w:hint="default"/>
          <w:lang w:val="en-US" w:eastAsia="zh-CN"/>
        </w:rPr>
        <w:instrText xml:space="preserve"> HYPERLINK \l _Toc20383 </w:instrText>
      </w:r>
      <w:r>
        <w:rPr>
          <w:rFonts w:hint="default"/>
          <w:lang w:val="en-US" w:eastAsia="zh-CN"/>
        </w:rPr>
        <w:fldChar w:fldCharType="separate"/>
      </w:r>
      <w:r>
        <w:rPr>
          <w:rFonts w:hint="eastAsia"/>
          <w:lang w:val="en-US" w:eastAsia="zh-CN"/>
        </w:rPr>
        <w:t xml:space="preserve">图 </w:t>
      </w:r>
      <w:r>
        <w:t xml:space="preserve">5 </w:t>
      </w:r>
      <w:r>
        <w:rPr>
          <w:rFonts w:hint="eastAsia"/>
          <w:lang w:val="en-US" w:eastAsia="zh-CN"/>
        </w:rPr>
        <w:t>：赴照金革命旧址研学实践</w:t>
      </w:r>
      <w:r>
        <w:tab/>
      </w:r>
      <w:r>
        <w:fldChar w:fldCharType="begin"/>
      </w:r>
      <w:r>
        <w:instrText xml:space="preserve"> PAGEREF _Toc20383 \h </w:instrText>
      </w:r>
      <w:r>
        <w:fldChar w:fldCharType="separate"/>
      </w:r>
      <w:r>
        <w:t>32</w:t>
      </w:r>
      <w:r>
        <w:fldChar w:fldCharType="end"/>
      </w:r>
      <w:r>
        <w:rPr>
          <w:rFonts w:hint="default"/>
          <w:lang w:val="en-US" w:eastAsia="zh-CN"/>
        </w:rPr>
        <w:fldChar w:fldCharType="end"/>
      </w:r>
    </w:p>
    <w:p w14:paraId="4335A25E">
      <w:pPr>
        <w:pStyle w:val="17"/>
        <w:tabs>
          <w:tab w:val="right" w:leader="dot" w:pos="8901"/>
        </w:tabs>
      </w:pPr>
      <w:r>
        <w:rPr>
          <w:rFonts w:hint="default"/>
          <w:lang w:val="en-US" w:eastAsia="zh-CN"/>
        </w:rPr>
        <w:fldChar w:fldCharType="begin"/>
      </w:r>
      <w:r>
        <w:rPr>
          <w:rFonts w:hint="default"/>
          <w:lang w:val="en-US" w:eastAsia="zh-CN"/>
        </w:rPr>
        <w:instrText xml:space="preserve"> HYPERLINK \l _Toc5992 </w:instrText>
      </w:r>
      <w:r>
        <w:rPr>
          <w:rFonts w:hint="default"/>
          <w:lang w:val="en-US" w:eastAsia="zh-CN"/>
        </w:rPr>
        <w:fldChar w:fldCharType="separate"/>
      </w:r>
      <w:r>
        <w:t xml:space="preserve">图 6 </w:t>
      </w:r>
      <w:r>
        <w:rPr>
          <w:rFonts w:hint="eastAsia"/>
          <w:lang w:eastAsia="zh-CN"/>
        </w:rPr>
        <w:t>：实践赋能教学</w:t>
      </w:r>
      <w:r>
        <w:tab/>
      </w:r>
      <w:r>
        <w:fldChar w:fldCharType="begin"/>
      </w:r>
      <w:r>
        <w:instrText xml:space="preserve"> PAGEREF _Toc5992 \h </w:instrText>
      </w:r>
      <w:r>
        <w:fldChar w:fldCharType="separate"/>
      </w:r>
      <w:r>
        <w:t>36</w:t>
      </w:r>
      <w:r>
        <w:fldChar w:fldCharType="end"/>
      </w:r>
      <w:r>
        <w:rPr>
          <w:rFonts w:hint="default"/>
          <w:lang w:val="en-US" w:eastAsia="zh-CN"/>
        </w:rPr>
        <w:fldChar w:fldCharType="end"/>
      </w:r>
    </w:p>
    <w:p w14:paraId="07E6CEB0">
      <w:pPr>
        <w:pStyle w:val="17"/>
        <w:tabs>
          <w:tab w:val="right" w:leader="dot" w:pos="8901"/>
        </w:tabs>
      </w:pPr>
      <w:r>
        <w:rPr>
          <w:rFonts w:hint="default"/>
          <w:lang w:val="en-US" w:eastAsia="zh-CN"/>
        </w:rPr>
        <w:fldChar w:fldCharType="begin"/>
      </w:r>
      <w:r>
        <w:rPr>
          <w:rFonts w:hint="default"/>
          <w:lang w:val="en-US" w:eastAsia="zh-CN"/>
        </w:rPr>
        <w:instrText xml:space="preserve"> HYPERLINK \l _Toc24337 </w:instrText>
      </w:r>
      <w:r>
        <w:rPr>
          <w:rFonts w:hint="default"/>
          <w:lang w:val="en-US" w:eastAsia="zh-CN"/>
        </w:rPr>
        <w:fldChar w:fldCharType="separate"/>
      </w:r>
      <w:r>
        <w:t xml:space="preserve">图 7 </w:t>
      </w:r>
      <w:r>
        <w:rPr>
          <w:rFonts w:hint="eastAsia"/>
          <w:lang w:eastAsia="zh-CN"/>
        </w:rPr>
        <w:t>：学徒培养模式</w:t>
      </w:r>
      <w:r>
        <w:tab/>
      </w:r>
      <w:r>
        <w:fldChar w:fldCharType="begin"/>
      </w:r>
      <w:r>
        <w:instrText xml:space="preserve"> PAGEREF _Toc24337 \h </w:instrText>
      </w:r>
      <w:r>
        <w:fldChar w:fldCharType="separate"/>
      </w:r>
      <w:r>
        <w:t>37</w:t>
      </w:r>
      <w:r>
        <w:fldChar w:fldCharType="end"/>
      </w:r>
      <w:r>
        <w:rPr>
          <w:rFonts w:hint="default"/>
          <w:lang w:val="en-US" w:eastAsia="zh-CN"/>
        </w:rPr>
        <w:fldChar w:fldCharType="end"/>
      </w:r>
    </w:p>
    <w:p w14:paraId="4399109A">
      <w:pPr>
        <w:pStyle w:val="17"/>
        <w:tabs>
          <w:tab w:val="right" w:leader="dot" w:pos="8901"/>
        </w:tabs>
      </w:pPr>
      <w:r>
        <w:rPr>
          <w:rFonts w:hint="default"/>
          <w:lang w:val="en-US" w:eastAsia="zh-CN"/>
        </w:rPr>
        <w:fldChar w:fldCharType="begin"/>
      </w:r>
      <w:r>
        <w:rPr>
          <w:rFonts w:hint="default"/>
          <w:lang w:val="en-US" w:eastAsia="zh-CN"/>
        </w:rPr>
        <w:instrText xml:space="preserve"> HYPERLINK \l _Toc22786 </w:instrText>
      </w:r>
      <w:r>
        <w:rPr>
          <w:rFonts w:hint="default"/>
          <w:lang w:val="en-US" w:eastAsia="zh-CN"/>
        </w:rPr>
        <w:fldChar w:fldCharType="separate"/>
      </w:r>
      <w:r>
        <w:t xml:space="preserve">图 8 </w:t>
      </w:r>
      <w:r>
        <w:rPr>
          <w:rFonts w:hint="eastAsia"/>
          <w:lang w:eastAsia="zh-CN"/>
        </w:rPr>
        <w:t>：第六届校企口腔雕牙大赛</w:t>
      </w:r>
      <w:r>
        <w:tab/>
      </w:r>
      <w:r>
        <w:fldChar w:fldCharType="begin"/>
      </w:r>
      <w:r>
        <w:instrText xml:space="preserve"> PAGEREF _Toc22786 \h </w:instrText>
      </w:r>
      <w:r>
        <w:fldChar w:fldCharType="separate"/>
      </w:r>
      <w:r>
        <w:t>38</w:t>
      </w:r>
      <w:r>
        <w:fldChar w:fldCharType="end"/>
      </w:r>
      <w:r>
        <w:rPr>
          <w:rFonts w:hint="default"/>
          <w:lang w:val="en-US" w:eastAsia="zh-CN"/>
        </w:rPr>
        <w:fldChar w:fldCharType="end"/>
      </w:r>
    </w:p>
    <w:p w14:paraId="1AAD2C1D">
      <w:pPr>
        <w:pStyle w:val="12"/>
        <w:bidi w:val="0"/>
        <w:rPr>
          <w:rFonts w:hint="default"/>
          <w:lang w:val="en-US" w:eastAsia="zh-CN"/>
        </w:rPr>
      </w:pPr>
      <w:r>
        <w:rPr>
          <w:rFonts w:hint="default"/>
          <w:lang w:val="en-US" w:eastAsia="zh-CN"/>
        </w:rPr>
        <w:fldChar w:fldCharType="end"/>
      </w:r>
    </w:p>
    <w:p w14:paraId="20B4508E">
      <w:pPr>
        <w:pStyle w:val="17"/>
        <w:tabs>
          <w:tab w:val="right" w:leader="dot" w:pos="8845"/>
        </w:tabs>
        <w:ind w:left="0" w:leftChars="0" w:firstLine="0" w:firstLineChars="0"/>
        <w:jc w:val="center"/>
        <w:rPr>
          <w:rFonts w:hint="default" w:ascii="Times New Roman" w:hAnsi="Times New Roman" w:eastAsia="仿宋_GB2312" w:cs="仿宋_GB2312"/>
          <w:b/>
          <w:bCs/>
          <w:kern w:val="2"/>
          <w:sz w:val="32"/>
          <w:szCs w:val="32"/>
          <w:lang w:val="en-US" w:eastAsia="zh-CN"/>
        </w:rPr>
      </w:pPr>
      <w:r>
        <w:rPr>
          <w:rFonts w:hint="eastAsia" w:ascii="Times New Roman" w:hAnsi="Times New Roman" w:eastAsia="仿宋_GB2312" w:cs="仿宋_GB2312"/>
          <w:b/>
          <w:bCs/>
          <w:kern w:val="2"/>
          <w:sz w:val="32"/>
          <w:szCs w:val="32"/>
          <w:lang w:val="en-US" w:eastAsia="zh-CN"/>
        </w:rPr>
        <w:t>案例目录</w:t>
      </w:r>
    </w:p>
    <w:p w14:paraId="04148756">
      <w:pPr>
        <w:pStyle w:val="17"/>
        <w:tabs>
          <w:tab w:val="right" w:leader="dot" w:pos="8901"/>
        </w:tabs>
      </w:pPr>
      <w:r>
        <w:fldChar w:fldCharType="begin"/>
      </w:r>
      <w:r>
        <w:instrText xml:space="preserve">TOC \h \c "案例"</w:instrText>
      </w:r>
      <w:r>
        <w:fldChar w:fldCharType="separate"/>
      </w:r>
      <w:r>
        <w:fldChar w:fldCharType="begin"/>
      </w:r>
      <w:r>
        <w:instrText xml:space="preserve"> HYPERLINK \l _Toc25909 </w:instrText>
      </w:r>
      <w:r>
        <w:fldChar w:fldCharType="separate"/>
      </w:r>
      <w:r>
        <w:rPr>
          <w:szCs w:val="36"/>
        </w:rPr>
        <w:t xml:space="preserve">案例 </w:t>
      </w:r>
      <w:r>
        <w:t xml:space="preserve">1 </w:t>
      </w:r>
      <w:r>
        <w:rPr>
          <w:rFonts w:hint="eastAsia"/>
          <w:szCs w:val="36"/>
          <w:lang w:eastAsia="zh-CN"/>
        </w:rPr>
        <w:t>：2-1校企合作育英才，质检岗位展风采——张金环</w:t>
      </w:r>
      <w:r>
        <w:tab/>
      </w:r>
      <w:r>
        <w:fldChar w:fldCharType="begin"/>
      </w:r>
      <w:r>
        <w:instrText xml:space="preserve"> PAGEREF _Toc25909 \h </w:instrText>
      </w:r>
      <w:r>
        <w:fldChar w:fldCharType="separate"/>
      </w:r>
      <w:r>
        <w:t>25</w:t>
      </w:r>
      <w:r>
        <w:fldChar w:fldCharType="end"/>
      </w:r>
      <w:r>
        <w:fldChar w:fldCharType="end"/>
      </w:r>
    </w:p>
    <w:p w14:paraId="4A2EB88A">
      <w:pPr>
        <w:pStyle w:val="17"/>
        <w:tabs>
          <w:tab w:val="right" w:leader="dot" w:pos="8901"/>
        </w:tabs>
      </w:pPr>
      <w:r>
        <w:fldChar w:fldCharType="begin"/>
      </w:r>
      <w:r>
        <w:instrText xml:space="preserve"> HYPERLINK \l _Toc7617 </w:instrText>
      </w:r>
      <w:r>
        <w:fldChar w:fldCharType="separate"/>
      </w:r>
      <w:r>
        <w:rPr>
          <w:szCs w:val="36"/>
        </w:rPr>
        <w:t xml:space="preserve">案例 </w:t>
      </w:r>
      <w:r>
        <w:t xml:space="preserve">2 </w:t>
      </w:r>
      <w:r>
        <w:rPr>
          <w:rFonts w:hint="eastAsia"/>
          <w:szCs w:val="36"/>
          <w:lang w:eastAsia="zh-CN"/>
        </w:rPr>
        <w:t xml:space="preserve">：3-1公益义诊活动案例 </w:t>
      </w:r>
      <w:r>
        <w:rPr>
          <w:rFonts w:hint="eastAsia"/>
          <w:szCs w:val="40"/>
          <w:lang w:eastAsia="zh-CN"/>
        </w:rPr>
        <w:t xml:space="preserve"> </w:t>
      </w:r>
      <w:r>
        <w:tab/>
      </w:r>
      <w:r>
        <w:fldChar w:fldCharType="begin"/>
      </w:r>
      <w:r>
        <w:instrText xml:space="preserve"> PAGEREF _Toc7617 \h </w:instrText>
      </w:r>
      <w:r>
        <w:fldChar w:fldCharType="separate"/>
      </w:r>
      <w:r>
        <w:t>31</w:t>
      </w:r>
      <w:r>
        <w:fldChar w:fldCharType="end"/>
      </w:r>
      <w:r>
        <w:fldChar w:fldCharType="end"/>
      </w:r>
    </w:p>
    <w:p w14:paraId="7DB7BCBF">
      <w:pPr>
        <w:pStyle w:val="17"/>
        <w:tabs>
          <w:tab w:val="right" w:leader="dot" w:pos="8901"/>
        </w:tabs>
      </w:pPr>
      <w:r>
        <w:fldChar w:fldCharType="begin"/>
      </w:r>
      <w:r>
        <w:instrText xml:space="preserve"> HYPERLINK \l _Toc6350 </w:instrText>
      </w:r>
      <w:r>
        <w:fldChar w:fldCharType="separate"/>
      </w:r>
      <w:r>
        <w:rPr>
          <w:szCs w:val="36"/>
        </w:rPr>
        <w:t xml:space="preserve">案例 </w:t>
      </w:r>
      <w:r>
        <w:t xml:space="preserve">3 </w:t>
      </w:r>
      <w:r>
        <w:rPr>
          <w:rFonts w:hint="eastAsia"/>
          <w:szCs w:val="36"/>
          <w:lang w:eastAsia="zh-CN"/>
        </w:rPr>
        <w:t>：4-1践行红色基地，赋能学生茁壮成长</w:t>
      </w:r>
      <w:r>
        <w:tab/>
      </w:r>
      <w:r>
        <w:fldChar w:fldCharType="begin"/>
      </w:r>
      <w:r>
        <w:instrText xml:space="preserve"> PAGEREF _Toc6350 \h </w:instrText>
      </w:r>
      <w:r>
        <w:fldChar w:fldCharType="separate"/>
      </w:r>
      <w:r>
        <w:t>33</w:t>
      </w:r>
      <w:r>
        <w:fldChar w:fldCharType="end"/>
      </w:r>
      <w:r>
        <w:fldChar w:fldCharType="end"/>
      </w:r>
    </w:p>
    <w:p w14:paraId="4EFCF3CD">
      <w:pPr>
        <w:pStyle w:val="17"/>
        <w:tabs>
          <w:tab w:val="right" w:leader="dot" w:pos="8901"/>
        </w:tabs>
      </w:pPr>
      <w:r>
        <w:fldChar w:fldCharType="begin"/>
      </w:r>
      <w:r>
        <w:instrText xml:space="preserve"> HYPERLINK \l _Toc25140 </w:instrText>
      </w:r>
      <w:r>
        <w:fldChar w:fldCharType="separate"/>
      </w:r>
      <w:r>
        <w:rPr>
          <w:szCs w:val="36"/>
        </w:rPr>
        <w:t xml:space="preserve">案例 </w:t>
      </w:r>
      <w:r>
        <w:t xml:space="preserve">4 </w:t>
      </w:r>
      <w:r>
        <w:rPr>
          <w:rFonts w:hint="eastAsia"/>
          <w:szCs w:val="36"/>
          <w:lang w:eastAsia="zh-CN"/>
        </w:rPr>
        <w:t>：6-1产教融合 ——“订单式培养 + 实习就业一体化”模式</w:t>
      </w:r>
      <w:r>
        <w:tab/>
      </w:r>
      <w:r>
        <w:fldChar w:fldCharType="begin"/>
      </w:r>
      <w:r>
        <w:instrText xml:space="preserve"> PAGEREF _Toc25140 \h </w:instrText>
      </w:r>
      <w:r>
        <w:fldChar w:fldCharType="separate"/>
      </w:r>
      <w:r>
        <w:t>39</w:t>
      </w:r>
      <w:r>
        <w:fldChar w:fldCharType="end"/>
      </w:r>
      <w:r>
        <w:fldChar w:fldCharType="end"/>
      </w:r>
    </w:p>
    <w:p w14:paraId="3F476F79">
      <w:pPr>
        <w:jc w:val="both"/>
      </w:pPr>
      <w:r>
        <w:fldChar w:fldCharType="end"/>
      </w:r>
    </w:p>
    <w:p w14:paraId="6F2EFD45">
      <w:pPr>
        <w:pStyle w:val="2"/>
        <w:bidi w:val="0"/>
        <w:ind w:left="0" w:leftChars="0" w:firstLine="0" w:firstLineChars="0"/>
        <w:rPr>
          <w:rFonts w:hint="eastAsia"/>
          <w:lang w:val="en-US" w:eastAsia="zh-CN"/>
        </w:rPr>
        <w:sectPr>
          <w:footerReference r:id="rId6" w:type="default"/>
          <w:pgSz w:w="11906" w:h="16838"/>
          <w:pgMar w:top="2098" w:right="1474" w:bottom="1928" w:left="1531" w:header="851" w:footer="992" w:gutter="0"/>
          <w:pgNumType w:fmt="decimal"/>
          <w:cols w:space="425" w:num="1"/>
          <w:docGrid w:type="lines" w:linePitch="312" w:charSpace="0"/>
        </w:sectPr>
      </w:pPr>
      <w:bookmarkStart w:id="0" w:name="_Toc6405"/>
      <w:bookmarkStart w:id="1" w:name="_Toc855"/>
    </w:p>
    <w:p w14:paraId="2E3C119D">
      <w:pPr>
        <w:pStyle w:val="2"/>
        <w:keepNext w:val="0"/>
        <w:keepLines w:val="0"/>
        <w:pageBreakBefore w:val="0"/>
        <w:widowControl w:val="0"/>
        <w:kinsoku/>
        <w:wordWrap/>
        <w:overflowPunct/>
        <w:topLinePunct w:val="0"/>
        <w:autoSpaceDE/>
        <w:autoSpaceDN/>
        <w:bidi w:val="0"/>
        <w:adjustRightInd/>
        <w:snapToGrid/>
        <w:spacing w:line="560" w:lineRule="exact"/>
        <w:ind w:left="640" w:leftChars="200" w:firstLine="0" w:firstLineChars="0"/>
        <w:textAlignment w:val="auto"/>
        <w:rPr>
          <w:rFonts w:hint="default"/>
          <w:color w:val="000000" w:themeColor="text1"/>
          <w14:textFill>
            <w14:solidFill>
              <w14:schemeClr w14:val="tx1"/>
            </w14:solidFill>
          </w14:textFill>
        </w:rPr>
      </w:pPr>
      <w:bookmarkStart w:id="2" w:name="_Toc26746"/>
      <w:r>
        <w:rPr>
          <w:rFonts w:hint="default"/>
          <w:color w:val="000000" w:themeColor="text1"/>
          <w14:textFill>
            <w14:solidFill>
              <w14:schemeClr w14:val="tx1"/>
            </w14:solidFill>
          </w14:textFill>
        </w:rPr>
        <w:t>1.基本情况</w:t>
      </w:r>
      <w:bookmarkEnd w:id="2"/>
    </w:p>
    <w:p w14:paraId="44C077BD">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_GB2312" w:cs="Times New Roman"/>
          <w:b w:val="0"/>
          <w:bCs w:val="0"/>
          <w:color w:val="000000" w:themeColor="text1"/>
          <w:szCs w:val="32"/>
          <w14:textFill>
            <w14:solidFill>
              <w14:schemeClr w14:val="tx1"/>
            </w14:solidFill>
          </w14:textFill>
        </w:rPr>
      </w:pPr>
      <w:bookmarkStart w:id="3" w:name="_Toc24518"/>
      <w:r>
        <w:rPr>
          <w:rFonts w:hint="default"/>
          <w:color w:val="000000" w:themeColor="text1"/>
          <w14:textFill>
            <w14:solidFill>
              <w14:schemeClr w14:val="tx1"/>
            </w14:solidFill>
          </w14:textFill>
        </w:rPr>
        <w:t>1.1学校概况</w:t>
      </w:r>
      <w:bookmarkEnd w:id="3"/>
    </w:p>
    <w:p w14:paraId="349D2B6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eastAsia="仿宋_GB2312"/>
          <w:color w:val="000000" w:themeColor="text1"/>
          <w:lang w:eastAsia="zh-CN"/>
          <w14:textFill>
            <w14:solidFill>
              <w14:schemeClr w14:val="tx1"/>
            </w14:solidFill>
          </w14:textFill>
        </w:rPr>
      </w:pPr>
      <w:r>
        <w:rPr>
          <w:rFonts w:hint="eastAsia" w:ascii="仿宋_GB2312" w:hAnsi="宋体" w:eastAsia="仿宋_GB2312" w:cs="宋体"/>
          <w:color w:val="000000" w:themeColor="text1"/>
          <w:kern w:val="2"/>
          <w:sz w:val="32"/>
          <w:szCs w:val="32"/>
          <w:lang w:eastAsia="zh-CN"/>
          <w14:textFill>
            <w14:solidFill>
              <w14:schemeClr w14:val="tx1"/>
            </w14:solidFill>
          </w14:textFill>
        </w:rPr>
        <w:t>西安医药科技职业学校自1997年创立以来，始终</w:t>
      </w:r>
      <w:r>
        <w:rPr>
          <w:rFonts w:hint="eastAsia" w:ascii="仿宋_GB2312" w:hAnsi="宋体" w:cs="宋体"/>
          <w:color w:val="000000" w:themeColor="text1"/>
          <w:kern w:val="2"/>
          <w:sz w:val="32"/>
          <w:szCs w:val="32"/>
          <w:lang w:eastAsia="zh-CN"/>
          <w14:textFill>
            <w14:solidFill>
              <w14:schemeClr w14:val="tx1"/>
            </w14:solidFill>
          </w14:textFill>
        </w:rPr>
        <w:t>贯彻</w:t>
      </w:r>
      <w:r>
        <w:rPr>
          <w:rFonts w:hint="eastAsia" w:ascii="仿宋_GB2312" w:hAnsi="宋体" w:eastAsia="仿宋_GB2312" w:cs="宋体"/>
          <w:color w:val="000000" w:themeColor="text1"/>
          <w:kern w:val="2"/>
          <w:sz w:val="32"/>
          <w:szCs w:val="32"/>
          <w:lang w:eastAsia="zh-CN"/>
          <w14:textFill>
            <w14:solidFill>
              <w14:schemeClr w14:val="tx1"/>
            </w14:solidFill>
          </w14:textFill>
        </w:rPr>
        <w:t>党的教育方针，坚定社会主义办学方向</w:t>
      </w:r>
      <w:r>
        <w:rPr>
          <w:rFonts w:hint="eastAsia" w:ascii="仿宋_GB2312" w:hAnsi="宋体" w:cs="宋体"/>
          <w:color w:val="000000" w:themeColor="text1"/>
          <w:kern w:val="2"/>
          <w:sz w:val="32"/>
          <w:szCs w:val="32"/>
          <w:lang w:eastAsia="zh-CN"/>
          <w14:textFill>
            <w14:solidFill>
              <w14:schemeClr w14:val="tx1"/>
            </w14:solidFill>
          </w14:textFill>
        </w:rPr>
        <w:t>。</w:t>
      </w:r>
      <w:r>
        <w:rPr>
          <w:rFonts w:hint="eastAsia" w:ascii="仿宋_GB2312" w:hAnsi="宋体" w:eastAsia="仿宋_GB2312" w:cs="宋体"/>
          <w:color w:val="000000" w:themeColor="text1"/>
          <w:kern w:val="2"/>
          <w:sz w:val="32"/>
          <w:szCs w:val="32"/>
          <w:lang w:eastAsia="zh-CN"/>
          <w14:textFill>
            <w14:solidFill>
              <w14:schemeClr w14:val="tx1"/>
            </w14:solidFill>
          </w14:textFill>
        </w:rPr>
        <w:t>作为一所经西安市教育局批准成立、鄠邑区</w:t>
      </w:r>
      <w:r>
        <w:rPr>
          <w:rFonts w:hint="eastAsia" w:ascii="仿宋_GB2312" w:hAnsi="宋体" w:cs="宋体"/>
          <w:color w:val="000000" w:themeColor="text1"/>
          <w:kern w:val="2"/>
          <w:sz w:val="32"/>
          <w:szCs w:val="32"/>
          <w:lang w:eastAsia="zh-CN"/>
          <w14:textFill>
            <w14:solidFill>
              <w14:schemeClr w14:val="tx1"/>
            </w14:solidFill>
          </w14:textFill>
        </w:rPr>
        <w:t>教育</w:t>
      </w:r>
      <w:r>
        <w:rPr>
          <w:rFonts w:hint="eastAsia" w:ascii="仿宋_GB2312" w:hAnsi="宋体" w:eastAsia="仿宋_GB2312" w:cs="宋体"/>
          <w:color w:val="000000" w:themeColor="text1"/>
          <w:kern w:val="2"/>
          <w:sz w:val="32"/>
          <w:szCs w:val="32"/>
          <w:lang w:eastAsia="zh-CN"/>
          <w14:textFill>
            <w14:solidFill>
              <w14:schemeClr w14:val="tx1"/>
            </w14:solidFill>
          </w14:textFill>
        </w:rPr>
        <w:t>局管理的民办市级重点职业学校，</w:t>
      </w:r>
      <w:r>
        <w:rPr>
          <w:rFonts w:hint="eastAsia" w:ascii="仿宋_GB2312" w:hAnsi="宋体" w:cs="宋体"/>
          <w:color w:val="000000" w:themeColor="text1"/>
          <w:kern w:val="2"/>
          <w:sz w:val="32"/>
          <w:szCs w:val="32"/>
          <w:lang w:eastAsia="zh-CN"/>
          <w14:textFill>
            <w14:solidFill>
              <w14:schemeClr w14:val="tx1"/>
            </w14:solidFill>
          </w14:textFill>
        </w:rPr>
        <w:t>它坐落于</w:t>
      </w:r>
      <w:r>
        <w:rPr>
          <w:rFonts w:hint="eastAsia" w:ascii="仿宋_GB2312" w:hAnsi="宋体" w:eastAsia="仿宋_GB2312" w:cs="宋体"/>
          <w:color w:val="000000" w:themeColor="text1"/>
          <w:kern w:val="2"/>
          <w:sz w:val="32"/>
          <w:szCs w:val="32"/>
          <w:lang w:eastAsia="zh-CN"/>
          <w14:textFill>
            <w14:solidFill>
              <w14:schemeClr w14:val="tx1"/>
            </w14:solidFill>
          </w14:textFill>
        </w:rPr>
        <w:t>西安市鄠邑区西户高新技术产业开发区大学南路3号，享有自主办学权、独立招生资格</w:t>
      </w:r>
      <w:r>
        <w:rPr>
          <w:rFonts w:hint="eastAsia" w:ascii="仿宋_GB2312" w:hAnsi="宋体" w:cs="宋体"/>
          <w:color w:val="000000" w:themeColor="text1"/>
          <w:kern w:val="2"/>
          <w:sz w:val="32"/>
          <w:szCs w:val="32"/>
          <w:lang w:eastAsia="zh-CN"/>
          <w14:textFill>
            <w14:solidFill>
              <w14:schemeClr w14:val="tx1"/>
            </w14:solidFill>
          </w14:textFill>
        </w:rPr>
        <w:t>，拥有</w:t>
      </w:r>
      <w:r>
        <w:rPr>
          <w:rFonts w:hint="eastAsia" w:ascii="仿宋_GB2312" w:hAnsi="宋体" w:eastAsia="仿宋_GB2312" w:cs="宋体"/>
          <w:color w:val="000000" w:themeColor="text1"/>
          <w:kern w:val="2"/>
          <w:sz w:val="32"/>
          <w:szCs w:val="32"/>
          <w:lang w:eastAsia="zh-CN"/>
          <w14:textFill>
            <w14:solidFill>
              <w14:schemeClr w14:val="tx1"/>
            </w14:solidFill>
          </w14:textFill>
        </w:rPr>
        <w:t>安全稳定的教育环境。校园建筑面积60000平方米，充分彰显了学校的雄厚办学实力。历经2</w:t>
      </w:r>
      <w:r>
        <w:rPr>
          <w:rFonts w:hint="eastAsia" w:ascii="仿宋_GB2312" w:hAnsi="宋体" w:cs="宋体"/>
          <w:color w:val="000000" w:themeColor="text1"/>
          <w:kern w:val="2"/>
          <w:sz w:val="32"/>
          <w:szCs w:val="32"/>
          <w:lang w:val="en-US" w:eastAsia="zh-CN"/>
          <w14:textFill>
            <w14:solidFill>
              <w14:schemeClr w14:val="tx1"/>
            </w14:solidFill>
          </w14:textFill>
        </w:rPr>
        <w:t>8</w:t>
      </w:r>
      <w:r>
        <w:rPr>
          <w:rFonts w:hint="eastAsia" w:ascii="仿宋_GB2312" w:hAnsi="宋体" w:eastAsia="仿宋_GB2312" w:cs="宋体"/>
          <w:color w:val="000000" w:themeColor="text1"/>
          <w:kern w:val="2"/>
          <w:sz w:val="32"/>
          <w:szCs w:val="32"/>
          <w:lang w:eastAsia="zh-CN"/>
          <w14:textFill>
            <w14:solidFill>
              <w14:schemeClr w14:val="tx1"/>
            </w14:solidFill>
          </w14:textFill>
        </w:rPr>
        <w:t>年不懈奋斗，学校积累了丰富的教学经验，师资力量强大，校风严谨，教育理念先进，始终</w:t>
      </w:r>
      <w:r>
        <w:rPr>
          <w:rFonts w:hint="eastAsia" w:ascii="仿宋_GB2312" w:hAnsi="宋体" w:cs="宋体"/>
          <w:color w:val="000000" w:themeColor="text1"/>
          <w:kern w:val="2"/>
          <w:sz w:val="32"/>
          <w:szCs w:val="32"/>
          <w:lang w:eastAsia="zh-CN"/>
          <w14:textFill>
            <w14:solidFill>
              <w14:schemeClr w14:val="tx1"/>
            </w14:solidFill>
          </w14:textFill>
        </w:rPr>
        <w:t>践行</w:t>
      </w:r>
      <w:r>
        <w:rPr>
          <w:rFonts w:hint="eastAsia" w:ascii="仿宋_GB2312" w:hAnsi="宋体" w:eastAsia="仿宋_GB2312" w:cs="宋体"/>
          <w:color w:val="000000" w:themeColor="text1"/>
          <w:kern w:val="2"/>
          <w:sz w:val="32"/>
          <w:szCs w:val="32"/>
          <w:lang w:eastAsia="zh-CN"/>
          <w14:textFill>
            <w14:solidFill>
              <w14:schemeClr w14:val="tx1"/>
            </w14:solidFill>
          </w14:textFill>
        </w:rPr>
        <w:t>立德树人的根本使命。</w:t>
      </w:r>
      <w:r>
        <w:rPr>
          <w:rFonts w:hint="eastAsia" w:ascii="仿宋_GB2312" w:hAnsi="宋体" w:cs="宋体"/>
          <w:color w:val="000000" w:themeColor="text1"/>
          <w:kern w:val="2"/>
          <w:sz w:val="32"/>
          <w:szCs w:val="32"/>
          <w:lang w:eastAsia="zh-CN"/>
          <w14:textFill>
            <w14:solidFill>
              <w14:schemeClr w14:val="tx1"/>
            </w14:solidFill>
          </w14:textFill>
        </w:rPr>
        <w:t>截至目前，学校已</w:t>
      </w:r>
      <w:r>
        <w:rPr>
          <w:rFonts w:hint="eastAsia" w:ascii="仿宋_GB2312" w:hAnsi="宋体" w:eastAsia="仿宋_GB2312" w:cs="宋体"/>
          <w:color w:val="000000" w:themeColor="text1"/>
          <w:kern w:val="2"/>
          <w:sz w:val="32"/>
          <w:szCs w:val="32"/>
          <w:lang w:eastAsia="zh-CN"/>
          <w14:textFill>
            <w14:solidFill>
              <w14:schemeClr w14:val="tx1"/>
            </w14:solidFill>
          </w14:textFill>
        </w:rPr>
        <w:t>培养超过4万名毕业生，为社会输送了大量高素质医药</w:t>
      </w:r>
      <w:r>
        <w:rPr>
          <w:rFonts w:hint="eastAsia" w:ascii="仿宋_GB2312" w:hAnsi="宋体" w:cs="宋体"/>
          <w:color w:val="000000" w:themeColor="text1"/>
          <w:kern w:val="2"/>
          <w:sz w:val="32"/>
          <w:szCs w:val="32"/>
          <w:lang w:eastAsia="zh-CN"/>
          <w14:textFill>
            <w14:solidFill>
              <w14:schemeClr w14:val="tx1"/>
            </w14:solidFill>
          </w14:textFill>
        </w:rPr>
        <w:t>专业</w:t>
      </w:r>
      <w:r>
        <w:rPr>
          <w:rFonts w:hint="eastAsia" w:ascii="仿宋_GB2312" w:hAnsi="宋体" w:eastAsia="仿宋_GB2312" w:cs="宋体"/>
          <w:color w:val="000000" w:themeColor="text1"/>
          <w:kern w:val="2"/>
          <w:sz w:val="32"/>
          <w:szCs w:val="32"/>
          <w:lang w:eastAsia="zh-CN"/>
          <w14:textFill>
            <w14:solidFill>
              <w14:schemeClr w14:val="tx1"/>
            </w14:solidFill>
          </w14:textFill>
        </w:rPr>
        <w:t>技</w:t>
      </w:r>
      <w:r>
        <w:rPr>
          <w:rFonts w:hint="eastAsia" w:ascii="仿宋_GB2312" w:hAnsi="宋体" w:cs="宋体"/>
          <w:color w:val="000000" w:themeColor="text1"/>
          <w:kern w:val="2"/>
          <w:sz w:val="32"/>
          <w:szCs w:val="32"/>
          <w:lang w:eastAsia="zh-CN"/>
          <w14:textFill>
            <w14:solidFill>
              <w14:schemeClr w14:val="tx1"/>
            </w14:solidFill>
          </w14:textFill>
        </w:rPr>
        <w:t>术</w:t>
      </w:r>
      <w:r>
        <w:rPr>
          <w:rFonts w:hint="eastAsia" w:ascii="仿宋_GB2312" w:hAnsi="宋体" w:eastAsia="仿宋_GB2312" w:cs="宋体"/>
          <w:color w:val="000000" w:themeColor="text1"/>
          <w:kern w:val="2"/>
          <w:sz w:val="32"/>
          <w:szCs w:val="32"/>
          <w:lang w:eastAsia="zh-CN"/>
          <w14:textFill>
            <w14:solidFill>
              <w14:schemeClr w14:val="tx1"/>
            </w14:solidFill>
          </w14:textFill>
        </w:rPr>
        <w:t>人才。学校推行个性化教学模式，实施寄宿制封闭式管理，功能区域规划科学，基础设施完善，后勤服务高效，食宿条件优越，是一所融合优质教学、优秀师资、完善设施和卓越管理的高品质学府，充分体现了教育现代化的前沿发展要求。</w:t>
      </w:r>
    </w:p>
    <w:p w14:paraId="090A0A7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_GB2312" w:cs="Times New Roman"/>
          <w:b w:val="0"/>
          <w:bCs w:val="0"/>
          <w:color w:val="000000" w:themeColor="text1"/>
          <w:szCs w:val="32"/>
          <w14:textFill>
            <w14:solidFill>
              <w14:schemeClr w14:val="tx1"/>
            </w14:solidFill>
          </w14:textFill>
        </w:rPr>
      </w:pPr>
      <w:bookmarkStart w:id="4" w:name="_Toc26375"/>
      <w:r>
        <w:rPr>
          <w:rFonts w:hint="default"/>
          <w:color w:val="000000" w:themeColor="text1"/>
          <w14:textFill>
            <w14:solidFill>
              <w14:schemeClr w14:val="tx1"/>
            </w14:solidFill>
          </w14:textFill>
        </w:rPr>
        <w:t>1.2专业设置</w:t>
      </w:r>
      <w:bookmarkEnd w:id="4"/>
    </w:p>
    <w:p w14:paraId="4D482841">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ascii="仿宋_GB2312" w:hAnsi="宋体" w:cs="宋体"/>
          <w:color w:val="000000" w:themeColor="text1"/>
          <w:kern w:val="2"/>
          <w:sz w:val="32"/>
          <w:szCs w:val="32"/>
          <w:lang w:eastAsia="zh-CN"/>
          <w14:textFill>
            <w14:solidFill>
              <w14:schemeClr w14:val="tx1"/>
            </w14:solidFill>
          </w14:textFill>
        </w:rPr>
      </w:pPr>
      <w:r>
        <w:rPr>
          <w:rFonts w:hint="eastAsia" w:ascii="仿宋_GB2312" w:hAnsi="宋体" w:cs="宋体"/>
          <w:color w:val="000000" w:themeColor="text1"/>
          <w:kern w:val="2"/>
          <w:sz w:val="32"/>
          <w:szCs w:val="32"/>
          <w:lang w:eastAsia="zh-CN"/>
          <w14:textFill>
            <w14:solidFill>
              <w14:schemeClr w14:val="tx1"/>
            </w14:solidFill>
          </w14:textFill>
        </w:rPr>
        <w:t>学</w:t>
      </w:r>
      <w:r>
        <w:rPr>
          <w:rFonts w:hint="eastAsia" w:ascii="仿宋_GB2312" w:hAnsi="宋体" w:eastAsia="仿宋_GB2312" w:cs="宋体"/>
          <w:color w:val="000000" w:themeColor="text1"/>
          <w:kern w:val="2"/>
          <w:sz w:val="32"/>
          <w:szCs w:val="32"/>
          <w:lang w:eastAsia="zh-CN"/>
          <w14:textFill>
            <w14:solidFill>
              <w14:schemeClr w14:val="tx1"/>
            </w14:solidFill>
          </w14:textFill>
        </w:rPr>
        <w:t>校始终秉承</w:t>
      </w:r>
      <w:r>
        <w:rPr>
          <w:rFonts w:hint="eastAsia" w:ascii="仿宋_GB2312" w:hAnsi="宋体" w:cs="宋体"/>
          <w:color w:val="000000" w:themeColor="text1"/>
          <w:kern w:val="2"/>
          <w:sz w:val="32"/>
          <w:szCs w:val="32"/>
          <w:lang w:eastAsia="zh-CN"/>
          <w14:textFill>
            <w14:solidFill>
              <w14:schemeClr w14:val="tx1"/>
            </w14:solidFill>
          </w14:textFill>
        </w:rPr>
        <w:t>“教育为人民服务”</w:t>
      </w:r>
      <w:r>
        <w:rPr>
          <w:rFonts w:hint="eastAsia" w:ascii="仿宋_GB2312" w:hAnsi="宋体" w:eastAsia="仿宋_GB2312" w:cs="宋体"/>
          <w:color w:val="000000" w:themeColor="text1"/>
          <w:kern w:val="2"/>
          <w:sz w:val="32"/>
          <w:szCs w:val="32"/>
          <w:lang w:eastAsia="zh-CN"/>
          <w14:textFill>
            <w14:solidFill>
              <w14:schemeClr w14:val="tx1"/>
            </w14:solidFill>
          </w14:textFill>
        </w:rPr>
        <w:t>的宗旨，精心构建并持续强化药剂、中医康复技术、中医养生保健、口腔修复工艺及3+2康复技术、3+2药学、3+2</w:t>
      </w:r>
      <w:r>
        <w:rPr>
          <w:rFonts w:hint="eastAsia" w:ascii="仿宋_GB2312" w:hAnsi="宋体" w:cs="宋体"/>
          <w:color w:val="000000" w:themeColor="text1"/>
          <w:kern w:val="2"/>
          <w:sz w:val="32"/>
          <w:szCs w:val="32"/>
          <w:lang w:eastAsia="zh-CN"/>
          <w14:textFill>
            <w14:solidFill>
              <w14:schemeClr w14:val="tx1"/>
            </w14:solidFill>
          </w14:textFill>
        </w:rPr>
        <w:t>口腔医学技术</w:t>
      </w:r>
      <w:r>
        <w:rPr>
          <w:rFonts w:hint="eastAsia" w:ascii="仿宋_GB2312" w:hAnsi="宋体" w:eastAsia="仿宋_GB2312" w:cs="宋体"/>
          <w:color w:val="000000" w:themeColor="text1"/>
          <w:kern w:val="2"/>
          <w:sz w:val="32"/>
          <w:szCs w:val="32"/>
          <w:lang w:eastAsia="zh-CN"/>
          <w14:textFill>
            <w14:solidFill>
              <w14:schemeClr w14:val="tx1"/>
            </w14:solidFill>
          </w14:textFill>
        </w:rPr>
        <w:t>中高职衔接等特色专业体系。药剂专业作为省级</w:t>
      </w:r>
      <w:r>
        <w:rPr>
          <w:rFonts w:hint="eastAsia" w:ascii="仿宋_GB2312" w:hAnsi="宋体" w:cs="宋体"/>
          <w:color w:val="000000" w:themeColor="text1"/>
          <w:kern w:val="2"/>
          <w:sz w:val="32"/>
          <w:szCs w:val="32"/>
          <w:lang w:eastAsia="zh-CN"/>
          <w14:textFill>
            <w14:solidFill>
              <w14:schemeClr w14:val="tx1"/>
            </w14:solidFill>
          </w14:textFill>
        </w:rPr>
        <w:t>高水平</w:t>
      </w:r>
      <w:r>
        <w:rPr>
          <w:rFonts w:hint="eastAsia" w:ascii="仿宋_GB2312" w:hAnsi="宋体" w:eastAsia="仿宋_GB2312" w:cs="宋体"/>
          <w:color w:val="000000" w:themeColor="text1"/>
          <w:kern w:val="2"/>
          <w:sz w:val="32"/>
          <w:szCs w:val="32"/>
          <w:lang w:eastAsia="zh-CN"/>
          <w14:textFill>
            <w14:solidFill>
              <w14:schemeClr w14:val="tx1"/>
            </w14:solidFill>
          </w14:textFill>
        </w:rPr>
        <w:t>示范</w:t>
      </w:r>
      <w:r>
        <w:rPr>
          <w:rFonts w:hint="eastAsia" w:ascii="仿宋_GB2312" w:hAnsi="宋体" w:cs="宋体"/>
          <w:color w:val="000000" w:themeColor="text1"/>
          <w:kern w:val="2"/>
          <w:sz w:val="32"/>
          <w:szCs w:val="32"/>
          <w:lang w:eastAsia="zh-CN"/>
          <w14:textFill>
            <w14:solidFill>
              <w14:schemeClr w14:val="tx1"/>
            </w14:solidFill>
          </w14:textFill>
        </w:rPr>
        <w:t>建设</w:t>
      </w:r>
      <w:r>
        <w:rPr>
          <w:rFonts w:hint="eastAsia" w:ascii="仿宋_GB2312" w:hAnsi="宋体" w:eastAsia="仿宋_GB2312" w:cs="宋体"/>
          <w:color w:val="000000" w:themeColor="text1"/>
          <w:kern w:val="2"/>
          <w:sz w:val="32"/>
          <w:szCs w:val="32"/>
          <w:lang w:eastAsia="zh-CN"/>
          <w14:textFill>
            <w14:solidFill>
              <w14:schemeClr w14:val="tx1"/>
            </w14:solidFill>
          </w14:textFill>
        </w:rPr>
        <w:t>专业、市级重点专业，</w:t>
      </w:r>
      <w:r>
        <w:rPr>
          <w:rFonts w:hint="eastAsia" w:ascii="仿宋_GB2312" w:hAnsi="宋体" w:cs="宋体"/>
          <w:color w:val="000000" w:themeColor="text1"/>
          <w:kern w:val="2"/>
          <w:sz w:val="32"/>
          <w:szCs w:val="32"/>
          <w:lang w:eastAsia="zh-CN"/>
          <w14:textFill>
            <w14:solidFill>
              <w14:schemeClr w14:val="tx1"/>
            </w14:solidFill>
          </w14:textFill>
        </w:rPr>
        <w:t>为</w:t>
      </w:r>
      <w:r>
        <w:rPr>
          <w:rFonts w:hint="eastAsia" w:ascii="仿宋_GB2312" w:hAnsi="宋体" w:eastAsia="仿宋_GB2312" w:cs="宋体"/>
          <w:color w:val="000000" w:themeColor="text1"/>
          <w:kern w:val="2"/>
          <w:sz w:val="32"/>
          <w:szCs w:val="32"/>
          <w:lang w:eastAsia="zh-CN"/>
          <w14:textFill>
            <w14:solidFill>
              <w14:schemeClr w14:val="tx1"/>
            </w14:solidFill>
          </w14:textFill>
        </w:rPr>
        <w:t>医药领域源源不断输送大批专业</w:t>
      </w:r>
      <w:r>
        <w:rPr>
          <w:rFonts w:hint="eastAsia" w:ascii="仿宋_GB2312" w:hAnsi="宋体" w:cs="宋体"/>
          <w:color w:val="000000" w:themeColor="text1"/>
          <w:kern w:val="2"/>
          <w:sz w:val="32"/>
          <w:szCs w:val="32"/>
          <w:lang w:eastAsia="zh-CN"/>
          <w14:textFill>
            <w14:solidFill>
              <w14:schemeClr w14:val="tx1"/>
            </w14:solidFill>
          </w14:textFill>
        </w:rPr>
        <w:t>技术</w:t>
      </w:r>
      <w:r>
        <w:rPr>
          <w:rFonts w:hint="eastAsia" w:ascii="仿宋_GB2312" w:hAnsi="宋体" w:eastAsia="仿宋_GB2312" w:cs="宋体"/>
          <w:color w:val="000000" w:themeColor="text1"/>
          <w:kern w:val="2"/>
          <w:sz w:val="32"/>
          <w:szCs w:val="32"/>
          <w:lang w:eastAsia="zh-CN"/>
          <w14:textFill>
            <w14:solidFill>
              <w14:schemeClr w14:val="tx1"/>
            </w14:solidFill>
          </w14:textFill>
        </w:rPr>
        <w:t>人才，为我国医疗卫生事业</w:t>
      </w:r>
      <w:r>
        <w:rPr>
          <w:rFonts w:hint="eastAsia" w:ascii="仿宋_GB2312" w:hAnsi="宋体" w:cs="宋体"/>
          <w:color w:val="000000" w:themeColor="text1"/>
          <w:kern w:val="2"/>
          <w:sz w:val="32"/>
          <w:szCs w:val="32"/>
          <w:lang w:eastAsia="zh-CN"/>
          <w14:textFill>
            <w14:solidFill>
              <w14:schemeClr w14:val="tx1"/>
            </w14:solidFill>
          </w14:textFill>
        </w:rPr>
        <w:t>发展</w:t>
      </w:r>
      <w:r>
        <w:rPr>
          <w:rFonts w:hint="eastAsia" w:ascii="仿宋_GB2312" w:hAnsi="宋体" w:eastAsia="仿宋_GB2312" w:cs="宋体"/>
          <w:color w:val="000000" w:themeColor="text1"/>
          <w:kern w:val="2"/>
          <w:sz w:val="32"/>
          <w:szCs w:val="32"/>
          <w:lang w:eastAsia="zh-CN"/>
          <w14:textFill>
            <w14:solidFill>
              <w14:schemeClr w14:val="tx1"/>
            </w14:solidFill>
          </w14:textFill>
        </w:rPr>
        <w:t>注入强劲蓬勃的动力。</w:t>
      </w:r>
      <w:r>
        <w:rPr>
          <w:rFonts w:hint="eastAsia" w:ascii="仿宋_GB2312" w:hAnsi="宋体" w:cs="宋体"/>
          <w:color w:val="000000" w:themeColor="text1"/>
          <w:kern w:val="2"/>
          <w:sz w:val="32"/>
          <w:szCs w:val="32"/>
          <w:lang w:eastAsia="zh-CN"/>
          <w14:textFill>
            <w14:solidFill>
              <w14:schemeClr w14:val="tx1"/>
            </w14:solidFill>
          </w14:textFill>
        </w:rPr>
        <w:t>中医康复技术与中医养生保健专业紧密对接健康、养老服务需求，突出实践教学与职业能力培养，毕业生广泛扎根于社区卫生机构及康养产业。口腔修复工艺专业依托深度校企合作，精进技能实训，锻造高素质技术型人才。3+2中高职衔接模式为学生开辟升学通道，显著增强职业教育吸引力与实效性，有力推动学生就业与职业发展。各专业均以岗位需求为导向，深化产教融合与校企协同育人机制，构建模块化课程体系，促进实训基地建设，全面提升学生实践能力与职业素养，切实达成“毕业即上岗”培养目标。学校持续深化教育教学改革，着力加强师资队伍建设与教学质量提升，不断优化人才培养方案，全力打造特色鲜明、优势突出的职业教育品牌，积极服务区域经济与大健康产业发展。</w:t>
      </w:r>
    </w:p>
    <w:p w14:paraId="16543099">
      <w:pPr>
        <w:pStyle w:val="10"/>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480" w:firstLineChars="200"/>
        <w:jc w:val="center"/>
        <w:textAlignment w:val="auto"/>
        <w:rPr>
          <w:rFonts w:hint="eastAsia" w:ascii="仿宋_GB2312" w:hAnsi="宋体" w:eastAsia="仿宋_GB2312" w:cs="宋体"/>
          <w:color w:val="000000" w:themeColor="text1"/>
          <w:kern w:val="2"/>
          <w:sz w:val="32"/>
          <w:szCs w:val="32"/>
          <w:lang w:eastAsia="zh-CN"/>
          <w14:textFill>
            <w14:solidFill>
              <w14:schemeClr w14:val="tx1"/>
            </w14:solidFill>
          </w14:textFill>
        </w:rPr>
      </w:pPr>
      <w:r>
        <w:t xml:space="preserve">表 </w:t>
      </w:r>
      <w:r>
        <w:fldChar w:fldCharType="begin"/>
      </w:r>
      <w:r>
        <w:instrText xml:space="preserve"> SEQ 表 \* ARABIC </w:instrText>
      </w:r>
      <w:r>
        <w:fldChar w:fldCharType="separate"/>
      </w:r>
      <w:r>
        <w:t>1</w:t>
      </w:r>
      <w:r>
        <w:fldChar w:fldCharType="end"/>
      </w:r>
      <w:bookmarkStart w:id="5" w:name="_Toc6622"/>
      <w:r>
        <w:rPr>
          <w:rFonts w:hint="eastAsia"/>
          <w:lang w:eastAsia="zh-CN"/>
        </w:rPr>
        <w:t>：专业开设情况</w:t>
      </w:r>
      <w:bookmarkEnd w:id="5"/>
    </w:p>
    <w:tbl>
      <w:tblPr>
        <w:tblStyle w:val="21"/>
        <w:tblW w:w="91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39"/>
        <w:gridCol w:w="2864"/>
        <w:gridCol w:w="3709"/>
      </w:tblGrid>
      <w:tr w14:paraId="50316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2864" w:type="dxa"/>
            <w:gridSpan w:val="2"/>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noWrap/>
            <w:vAlign w:val="center"/>
          </w:tcPr>
          <w:p w14:paraId="36E417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专业大类</w:t>
            </w:r>
          </w:p>
        </w:tc>
        <w:tc>
          <w:tcPr>
            <w:tcW w:w="3709"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noWrap/>
            <w:vAlign w:val="center"/>
          </w:tcPr>
          <w:p w14:paraId="0BD0A7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专业名称</w:t>
            </w:r>
          </w:p>
        </w:tc>
      </w:tr>
      <w:tr w14:paraId="235C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restart"/>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2B0CCAC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医疗卫生类</w:t>
            </w:r>
          </w:p>
        </w:tc>
        <w:tc>
          <w:tcPr>
            <w:tcW w:w="2864" w:type="dxa"/>
            <w:vMerge w:val="restart"/>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8790C7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中职专业</w:t>
            </w:r>
          </w:p>
        </w:tc>
        <w:tc>
          <w:tcPr>
            <w:tcW w:w="3709" w:type="dxa"/>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121049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药剂</w:t>
            </w:r>
          </w:p>
        </w:tc>
      </w:tr>
      <w:tr w14:paraId="5197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EE981D7">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34B0157F">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3709"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29FD3A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中医康复技术</w:t>
            </w:r>
          </w:p>
        </w:tc>
      </w:tr>
      <w:tr w14:paraId="4317C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27CEB1C1">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71A8AE14">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3709"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59111F4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口腔修复工艺</w:t>
            </w:r>
          </w:p>
        </w:tc>
      </w:tr>
      <w:tr w14:paraId="1BBBD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DFC96BB">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119E0E69">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3709"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6FAFCA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中医养生保健</w:t>
            </w:r>
          </w:p>
        </w:tc>
      </w:tr>
      <w:tr w14:paraId="016C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5F1CE88A">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3B0003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3+2中高职衔接专业</w:t>
            </w:r>
          </w:p>
        </w:tc>
        <w:tc>
          <w:tcPr>
            <w:tcW w:w="3709"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0070B1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3+2康复治疗技术</w:t>
            </w:r>
          </w:p>
        </w:tc>
      </w:tr>
      <w:tr w14:paraId="294FE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442A562C">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69A3AE25">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3709"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10A5B6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3+2药学</w:t>
            </w:r>
          </w:p>
        </w:tc>
      </w:tr>
      <w:tr w14:paraId="7B098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2539" w:type="dxa"/>
            <w:vMerge w:val="continue"/>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FFFFFF"/>
            <w:noWrap/>
            <w:vAlign w:val="center"/>
          </w:tcPr>
          <w:p w14:paraId="285ABD93">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2864" w:type="dxa"/>
            <w:vMerge w:val="continue"/>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48DA6BA0">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3709"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FFFFFF"/>
            <w:noWrap/>
            <w:vAlign w:val="center"/>
          </w:tcPr>
          <w:p w14:paraId="60AE24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3+2口腔</w:t>
            </w:r>
          </w:p>
        </w:tc>
      </w:tr>
    </w:tbl>
    <w:p w14:paraId="125DB28C">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_GB2312" w:cs="Times New Roman"/>
          <w:b w:val="0"/>
          <w:bCs w:val="0"/>
          <w:color w:val="000000" w:themeColor="text1"/>
          <w:szCs w:val="32"/>
          <w14:textFill>
            <w14:solidFill>
              <w14:schemeClr w14:val="tx1"/>
            </w14:solidFill>
          </w14:textFill>
        </w:rPr>
      </w:pPr>
      <w:bookmarkStart w:id="6" w:name="_Toc26693"/>
      <w:r>
        <w:rPr>
          <w:rFonts w:hint="default"/>
          <w:color w:val="000000" w:themeColor="text1"/>
          <w14:textFill>
            <w14:solidFill>
              <w14:schemeClr w14:val="tx1"/>
            </w14:solidFill>
          </w14:textFill>
        </w:rPr>
        <w:t>1.3学生情况</w:t>
      </w:r>
      <w:bookmarkEnd w:id="6"/>
    </w:p>
    <w:p w14:paraId="1269B4A4">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ascii="仿宋_GB2312" w:hAnsi="宋体" w:cs="宋体"/>
          <w:color w:val="000000" w:themeColor="text1"/>
          <w:kern w:val="2"/>
          <w:sz w:val="32"/>
          <w:szCs w:val="32"/>
          <w:lang w:eastAsia="zh-CN"/>
          <w14:textFill>
            <w14:solidFill>
              <w14:schemeClr w14:val="tx1"/>
            </w14:solidFill>
          </w14:textFill>
        </w:rPr>
      </w:pPr>
      <w:r>
        <w:rPr>
          <w:rFonts w:hint="eastAsia" w:ascii="仿宋_GB2312" w:hAnsi="宋体" w:eastAsia="仿宋_GB2312" w:cs="宋体"/>
          <w:color w:val="000000" w:themeColor="text1"/>
          <w:kern w:val="2"/>
          <w:sz w:val="32"/>
          <w:szCs w:val="32"/>
          <w:lang w:eastAsia="zh-CN"/>
          <w14:textFill>
            <w14:solidFill>
              <w14:schemeClr w14:val="tx1"/>
            </w14:solidFill>
          </w14:textFill>
        </w:rPr>
        <w:t>目前学校在校生人数2880人，一年级951人、二年级994人、三年级985人，生源主要来自陕西省，</w:t>
      </w:r>
      <w:r>
        <w:rPr>
          <w:rFonts w:hint="eastAsia" w:ascii="仿宋_GB2312" w:hAnsi="宋体" w:cs="宋体"/>
          <w:color w:val="000000" w:themeColor="text1"/>
          <w:kern w:val="2"/>
          <w:sz w:val="32"/>
          <w:szCs w:val="32"/>
          <w:lang w:eastAsia="zh-CN"/>
          <w14:textFill>
            <w14:solidFill>
              <w14:schemeClr w14:val="tx1"/>
            </w14:solidFill>
          </w14:textFill>
        </w:rPr>
        <w:t>其中西安市</w:t>
      </w:r>
      <w:r>
        <w:rPr>
          <w:rFonts w:hint="eastAsia" w:ascii="仿宋_GB2312" w:hAnsi="宋体" w:eastAsia="仿宋_GB2312" w:cs="宋体"/>
          <w:color w:val="000000" w:themeColor="text1"/>
          <w:kern w:val="2"/>
          <w:sz w:val="32"/>
          <w:szCs w:val="32"/>
          <w:lang w:eastAsia="zh-CN"/>
          <w14:textFill>
            <w14:solidFill>
              <w14:schemeClr w14:val="tx1"/>
            </w14:solidFill>
          </w14:textFill>
        </w:rPr>
        <w:t>外占比67%</w:t>
      </w:r>
      <w:r>
        <w:rPr>
          <w:rFonts w:hint="eastAsia" w:ascii="仿宋_GB2312" w:hAnsi="宋体" w:cs="宋体"/>
          <w:color w:val="000000" w:themeColor="text1"/>
          <w:kern w:val="2"/>
          <w:sz w:val="32"/>
          <w:szCs w:val="32"/>
          <w:lang w:eastAsia="zh-CN"/>
          <w14:textFill>
            <w14:solidFill>
              <w14:schemeClr w14:val="tx1"/>
            </w14:solidFill>
          </w14:textFill>
        </w:rPr>
        <w:t>，</w:t>
      </w:r>
      <w:r>
        <w:rPr>
          <w:rFonts w:hint="eastAsia" w:ascii="仿宋_GB2312" w:hAnsi="宋体" w:eastAsia="仿宋_GB2312" w:cs="宋体"/>
          <w:color w:val="000000" w:themeColor="text1"/>
          <w:kern w:val="2"/>
          <w:sz w:val="32"/>
          <w:szCs w:val="32"/>
          <w:lang w:eastAsia="zh-CN"/>
          <w14:textFill>
            <w14:solidFill>
              <w14:schemeClr w14:val="tx1"/>
            </w14:solidFill>
          </w14:textFill>
        </w:rPr>
        <w:t>西安市内占比33%。</w:t>
      </w:r>
      <w:r>
        <w:rPr>
          <w:rFonts w:ascii="仿宋_GB2312" w:hAnsi="宋体" w:eastAsia="仿宋_GB2312" w:cs="宋体"/>
          <w:color w:val="000000" w:themeColor="text1"/>
          <w:kern w:val="2"/>
          <w:sz w:val="32"/>
          <w:szCs w:val="32"/>
          <w14:textFill>
            <w14:solidFill>
              <w14:schemeClr w14:val="tx1"/>
            </w14:solidFill>
          </w14:textFill>
        </w:rPr>
        <w:t>学生的综合素质不断提升，他们积极投身于各级各类的文化、体育及艺术活动，参与社会实践和志愿服务，充分展现了卓越的社会责任感和团队协作能力。</w:t>
      </w:r>
      <w:r>
        <w:rPr>
          <w:rFonts w:hint="eastAsia" w:ascii="仿宋_GB2312" w:hAnsi="宋体" w:cs="宋体"/>
          <w:color w:val="000000" w:themeColor="text1"/>
          <w:kern w:val="2"/>
          <w:sz w:val="32"/>
          <w:szCs w:val="32"/>
          <w:lang w:eastAsia="zh-CN"/>
          <w14:textFill>
            <w14:solidFill>
              <w14:schemeClr w14:val="tx1"/>
            </w14:solidFill>
          </w14:textFill>
        </w:rPr>
        <w:t>在德智体美劳全面发展的教育理念引导下，学生不仅学业扎实，而且具备良好的职业道德与人文素养。近年来，学生在省市区级以上技能大赛中屡获佳绩，就业率持续保持在97%以上，用人单位满意度达95%。毕业生以“用得上、留得住、干得好”赢得广泛赞誉，成为行业一线骨干力量。学校坚持立德树人根本任务，注重学生终身发展，建立健全“全员育人、全过程育人、全方位育人”体系，推进思政课程与课程思政同向同行，强化职业精神与工匠精神培育。通过开展丰富多彩的校园文化活动与第二课堂，持续提升学生综合素养。同时，依托校企合作平台，深化产教融合，推动实习就业一体化发展，进一步巩固“招生—培养—就业”良性循环，不断提升人才培养与产业需求的契合度。</w:t>
      </w:r>
    </w:p>
    <w:p w14:paraId="69EE7EF1">
      <w:pPr>
        <w:pStyle w:val="10"/>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480" w:firstLineChars="200"/>
        <w:jc w:val="center"/>
        <w:textAlignment w:val="auto"/>
        <w:rPr>
          <w:rFonts w:hint="eastAsia" w:ascii="仿宋_GB2312" w:hAnsi="宋体" w:eastAsia="仿宋_GB2312" w:cs="宋体"/>
          <w:color w:val="000000" w:themeColor="text1"/>
          <w:kern w:val="2"/>
          <w:sz w:val="32"/>
          <w:szCs w:val="32"/>
          <w:lang w:eastAsia="zh-CN"/>
          <w14:textFill>
            <w14:solidFill>
              <w14:schemeClr w14:val="tx1"/>
            </w14:solidFill>
          </w14:textFill>
        </w:rPr>
      </w:pPr>
      <w:r>
        <w:t xml:space="preserve">表 </w:t>
      </w:r>
      <w:r>
        <w:fldChar w:fldCharType="begin"/>
      </w:r>
      <w:r>
        <w:instrText xml:space="preserve"> SEQ 表 \* ARABIC </w:instrText>
      </w:r>
      <w:r>
        <w:fldChar w:fldCharType="separate"/>
      </w:r>
      <w:r>
        <w:t>2</w:t>
      </w:r>
      <w:r>
        <w:fldChar w:fldCharType="end"/>
      </w:r>
      <w:bookmarkStart w:id="7" w:name="_Toc17029"/>
      <w:r>
        <w:rPr>
          <w:rFonts w:hint="eastAsia"/>
          <w:lang w:eastAsia="zh-CN"/>
        </w:rPr>
        <w:t>：在校生各年级男女生占比、生源情况</w:t>
      </w:r>
      <w:bookmarkEnd w:id="7"/>
    </w:p>
    <w:tbl>
      <w:tblPr>
        <w:tblStyle w:val="21"/>
        <w:tblW w:w="9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2"/>
        <w:gridCol w:w="885"/>
        <w:gridCol w:w="705"/>
        <w:gridCol w:w="975"/>
        <w:gridCol w:w="720"/>
        <w:gridCol w:w="1005"/>
        <w:gridCol w:w="840"/>
        <w:gridCol w:w="1110"/>
        <w:gridCol w:w="975"/>
        <w:gridCol w:w="960"/>
      </w:tblGrid>
      <w:tr w14:paraId="3921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952" w:type="dxa"/>
            <w:vMerge w:val="restart"/>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vAlign w:val="center"/>
          </w:tcPr>
          <w:p w14:paraId="75D00B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年级</w:t>
            </w:r>
          </w:p>
        </w:tc>
        <w:tc>
          <w:tcPr>
            <w:tcW w:w="885" w:type="dxa"/>
            <w:vMerge w:val="restart"/>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14:paraId="288EE8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总人数</w:t>
            </w:r>
          </w:p>
        </w:tc>
        <w:tc>
          <w:tcPr>
            <w:tcW w:w="3405" w:type="dxa"/>
            <w:gridSpan w:val="4"/>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14:paraId="22BBE85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男女生情况</w:t>
            </w:r>
          </w:p>
        </w:tc>
        <w:tc>
          <w:tcPr>
            <w:tcW w:w="3885" w:type="dxa"/>
            <w:gridSpan w:val="4"/>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14:paraId="7FF87B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生源情况</w:t>
            </w:r>
          </w:p>
        </w:tc>
      </w:tr>
      <w:tr w14:paraId="67B3F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952" w:type="dxa"/>
            <w:vMerge w:val="continue"/>
            <w:tcBorders>
              <w:top w:val="single" w:color="5B9BD5" w:themeColor="accent1" w:sz="6" w:space="0"/>
              <w:left w:val="single" w:color="5B9BD5" w:themeColor="accent1" w:sz="6" w:space="0"/>
              <w:bottom w:val="nil"/>
              <w:right w:val="single" w:color="BDD6EE" w:themeColor="accent1" w:themeTint="66" w:sz="6" w:space="0"/>
            </w:tcBorders>
            <w:shd w:val="clear" w:color="auto" w:fill="EEF5FA" w:themeFill="accent1" w:themeFillTint="19"/>
            <w:vAlign w:val="center"/>
          </w:tcPr>
          <w:p w14:paraId="71335C9F">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885" w:type="dxa"/>
            <w:vMerge w:val="continue"/>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FFFFFF"/>
            <w:vAlign w:val="center"/>
          </w:tcPr>
          <w:p w14:paraId="147FD569">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705"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5447BE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女生人数</w:t>
            </w:r>
          </w:p>
        </w:tc>
        <w:tc>
          <w:tcPr>
            <w:tcW w:w="975"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FFFFFF"/>
            <w:noWrap/>
            <w:vAlign w:val="center"/>
          </w:tcPr>
          <w:p w14:paraId="14F452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占比</w:t>
            </w:r>
          </w:p>
        </w:tc>
        <w:tc>
          <w:tcPr>
            <w:tcW w:w="720"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77935F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男生人数</w:t>
            </w:r>
          </w:p>
        </w:tc>
        <w:tc>
          <w:tcPr>
            <w:tcW w:w="1005"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FFFFFF"/>
            <w:vAlign w:val="center"/>
          </w:tcPr>
          <w:p w14:paraId="187063C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占比</w:t>
            </w:r>
          </w:p>
        </w:tc>
        <w:tc>
          <w:tcPr>
            <w:tcW w:w="840"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73F4A6E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西安市内</w:t>
            </w:r>
          </w:p>
        </w:tc>
        <w:tc>
          <w:tcPr>
            <w:tcW w:w="1110"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FFFFFF"/>
            <w:noWrap/>
            <w:vAlign w:val="center"/>
          </w:tcPr>
          <w:p w14:paraId="54B83B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占比</w:t>
            </w:r>
          </w:p>
        </w:tc>
        <w:tc>
          <w:tcPr>
            <w:tcW w:w="975" w:type="dxa"/>
            <w:tcBorders>
              <w:top w:val="single" w:color="5B9BD5" w:themeColor="accent1" w:sz="6" w:space="0"/>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46699D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西安市市外</w:t>
            </w:r>
          </w:p>
        </w:tc>
        <w:tc>
          <w:tcPr>
            <w:tcW w:w="960" w:type="dxa"/>
            <w:tcBorders>
              <w:top w:val="single" w:color="5B9BD5" w:themeColor="accent1" w:sz="6" w:space="0"/>
              <w:left w:val="single" w:color="BDD6EE" w:themeColor="accent1" w:themeTint="66" w:sz="6" w:space="0"/>
              <w:bottom w:val="nil"/>
              <w:right w:val="single" w:color="5B9BD5" w:themeColor="accent1" w:sz="6" w:space="0"/>
            </w:tcBorders>
            <w:shd w:val="clear" w:color="auto" w:fill="FFFFFF"/>
            <w:noWrap/>
            <w:vAlign w:val="center"/>
          </w:tcPr>
          <w:p w14:paraId="1C5D1E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占比</w:t>
            </w:r>
          </w:p>
        </w:tc>
      </w:tr>
      <w:tr w14:paraId="3CDBA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2" w:type="dxa"/>
            <w:tcBorders>
              <w:top w:val="nil"/>
              <w:left w:val="single" w:color="5B9BD5" w:themeColor="accent1" w:sz="6" w:space="0"/>
              <w:bottom w:val="nil"/>
              <w:right w:val="single" w:color="BDD6EE" w:themeColor="accent1" w:themeTint="66" w:sz="6" w:space="0"/>
            </w:tcBorders>
            <w:shd w:val="clear" w:color="auto" w:fill="EEF5FA" w:themeFill="accent1" w:themeFillTint="19"/>
            <w:vAlign w:val="center"/>
          </w:tcPr>
          <w:p w14:paraId="0F5945B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2023级</w:t>
            </w:r>
          </w:p>
        </w:tc>
        <w:tc>
          <w:tcPr>
            <w:tcW w:w="885"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6D367D7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985</w:t>
            </w:r>
          </w:p>
        </w:tc>
        <w:tc>
          <w:tcPr>
            <w:tcW w:w="705"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3F9E6E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549</w:t>
            </w:r>
          </w:p>
        </w:tc>
        <w:tc>
          <w:tcPr>
            <w:tcW w:w="975" w:type="dxa"/>
            <w:tcBorders>
              <w:top w:val="nil"/>
              <w:left w:val="single" w:color="BDD6EE" w:themeColor="accent1" w:themeTint="66" w:sz="6" w:space="0"/>
              <w:bottom w:val="nil"/>
              <w:right w:val="single" w:color="BDD6EE" w:themeColor="accent1" w:themeTint="66" w:sz="6" w:space="0"/>
            </w:tcBorders>
            <w:shd w:val="clear" w:color="auto" w:fill="FFFFFF"/>
            <w:noWrap/>
            <w:vAlign w:val="center"/>
          </w:tcPr>
          <w:p w14:paraId="10426A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55.74%</w:t>
            </w:r>
          </w:p>
        </w:tc>
        <w:tc>
          <w:tcPr>
            <w:tcW w:w="720"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5EBE51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436</w:t>
            </w:r>
          </w:p>
        </w:tc>
        <w:tc>
          <w:tcPr>
            <w:tcW w:w="1005"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17EEB8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44.26%</w:t>
            </w:r>
          </w:p>
        </w:tc>
        <w:tc>
          <w:tcPr>
            <w:tcW w:w="840"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34229E0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258</w:t>
            </w:r>
          </w:p>
        </w:tc>
        <w:tc>
          <w:tcPr>
            <w:tcW w:w="1110"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56E0C8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26.19%</w:t>
            </w:r>
          </w:p>
        </w:tc>
        <w:tc>
          <w:tcPr>
            <w:tcW w:w="975"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7FB3997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727</w:t>
            </w:r>
          </w:p>
        </w:tc>
        <w:tc>
          <w:tcPr>
            <w:tcW w:w="960" w:type="dxa"/>
            <w:tcBorders>
              <w:top w:val="nil"/>
              <w:left w:val="single" w:color="BDD6EE" w:themeColor="accent1" w:themeTint="66" w:sz="6" w:space="0"/>
              <w:bottom w:val="nil"/>
              <w:right w:val="single" w:color="5B9BD5" w:themeColor="accent1" w:sz="6" w:space="0"/>
            </w:tcBorders>
            <w:shd w:val="clear" w:color="auto" w:fill="FFFFFF"/>
            <w:vAlign w:val="center"/>
          </w:tcPr>
          <w:p w14:paraId="7328DED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73.81%</w:t>
            </w:r>
          </w:p>
        </w:tc>
      </w:tr>
      <w:tr w14:paraId="1DD34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2" w:type="dxa"/>
            <w:tcBorders>
              <w:top w:val="nil"/>
              <w:left w:val="single" w:color="5B9BD5" w:themeColor="accent1" w:sz="6" w:space="0"/>
              <w:bottom w:val="nil"/>
              <w:right w:val="single" w:color="BDD6EE" w:themeColor="accent1" w:themeTint="66" w:sz="6" w:space="0"/>
            </w:tcBorders>
            <w:shd w:val="clear" w:color="auto" w:fill="EEF5FA" w:themeFill="accent1" w:themeFillTint="19"/>
            <w:vAlign w:val="center"/>
          </w:tcPr>
          <w:p w14:paraId="7182329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2024级</w:t>
            </w:r>
          </w:p>
        </w:tc>
        <w:tc>
          <w:tcPr>
            <w:tcW w:w="885"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0DB9415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944</w:t>
            </w:r>
          </w:p>
        </w:tc>
        <w:tc>
          <w:tcPr>
            <w:tcW w:w="705"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7E7DAD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546</w:t>
            </w:r>
          </w:p>
        </w:tc>
        <w:tc>
          <w:tcPr>
            <w:tcW w:w="975" w:type="dxa"/>
            <w:tcBorders>
              <w:top w:val="nil"/>
              <w:left w:val="single" w:color="BDD6EE" w:themeColor="accent1" w:themeTint="66" w:sz="6" w:space="0"/>
              <w:bottom w:val="nil"/>
              <w:right w:val="single" w:color="BDD6EE" w:themeColor="accent1" w:themeTint="66" w:sz="6" w:space="0"/>
            </w:tcBorders>
            <w:shd w:val="clear" w:color="auto" w:fill="FFFFFF"/>
            <w:noWrap/>
            <w:vAlign w:val="center"/>
          </w:tcPr>
          <w:p w14:paraId="6A7E86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57.84%</w:t>
            </w:r>
          </w:p>
        </w:tc>
        <w:tc>
          <w:tcPr>
            <w:tcW w:w="720"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44E175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398</w:t>
            </w:r>
          </w:p>
        </w:tc>
        <w:tc>
          <w:tcPr>
            <w:tcW w:w="1005"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0F1D6B4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42.16%</w:t>
            </w:r>
          </w:p>
        </w:tc>
        <w:tc>
          <w:tcPr>
            <w:tcW w:w="840"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5F9543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281</w:t>
            </w:r>
          </w:p>
        </w:tc>
        <w:tc>
          <w:tcPr>
            <w:tcW w:w="1110" w:type="dxa"/>
            <w:tcBorders>
              <w:top w:val="nil"/>
              <w:left w:val="single" w:color="BDD6EE" w:themeColor="accent1" w:themeTint="66" w:sz="6" w:space="0"/>
              <w:bottom w:val="nil"/>
              <w:right w:val="single" w:color="BDD6EE" w:themeColor="accent1" w:themeTint="66" w:sz="6" w:space="0"/>
            </w:tcBorders>
            <w:shd w:val="clear" w:color="auto" w:fill="FFFFFF"/>
            <w:vAlign w:val="center"/>
          </w:tcPr>
          <w:p w14:paraId="5C457DC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29.77%</w:t>
            </w:r>
          </w:p>
        </w:tc>
        <w:tc>
          <w:tcPr>
            <w:tcW w:w="975" w:type="dxa"/>
            <w:tcBorders>
              <w:top w:val="nil"/>
              <w:left w:val="single" w:color="BDD6EE" w:themeColor="accent1" w:themeTint="66" w:sz="6" w:space="0"/>
              <w:bottom w:val="nil"/>
              <w:right w:val="single" w:color="BDD6EE" w:themeColor="accent1" w:themeTint="66" w:sz="6" w:space="0"/>
            </w:tcBorders>
            <w:shd w:val="clear" w:color="auto" w:fill="EEF5FA" w:themeFill="accent1" w:themeFillTint="19"/>
            <w:vAlign w:val="center"/>
          </w:tcPr>
          <w:p w14:paraId="3B9AA1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663</w:t>
            </w:r>
          </w:p>
        </w:tc>
        <w:tc>
          <w:tcPr>
            <w:tcW w:w="960" w:type="dxa"/>
            <w:tcBorders>
              <w:top w:val="nil"/>
              <w:left w:val="single" w:color="BDD6EE" w:themeColor="accent1" w:themeTint="66" w:sz="6" w:space="0"/>
              <w:bottom w:val="nil"/>
              <w:right w:val="single" w:color="5B9BD5" w:themeColor="accent1" w:sz="6" w:space="0"/>
            </w:tcBorders>
            <w:shd w:val="clear" w:color="auto" w:fill="FFFFFF"/>
            <w:vAlign w:val="center"/>
          </w:tcPr>
          <w:p w14:paraId="304871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70.23%</w:t>
            </w:r>
          </w:p>
        </w:tc>
      </w:tr>
      <w:tr w14:paraId="7FE58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2" w:type="dxa"/>
            <w:tcBorders>
              <w:top w:val="nil"/>
              <w:left w:val="single" w:color="5B9BD5" w:themeColor="accent1" w:sz="6" w:space="0"/>
              <w:bottom w:val="single" w:color="5B9BD5" w:themeColor="accent1" w:sz="6" w:space="0"/>
              <w:right w:val="single" w:color="BDD6EE" w:themeColor="accent1" w:themeTint="66" w:sz="6" w:space="0"/>
            </w:tcBorders>
            <w:shd w:val="clear" w:color="auto" w:fill="EEF5FA" w:themeFill="accent1" w:themeFillTint="19"/>
            <w:vAlign w:val="center"/>
          </w:tcPr>
          <w:p w14:paraId="704E20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2025级</w:t>
            </w:r>
          </w:p>
        </w:tc>
        <w:tc>
          <w:tcPr>
            <w:tcW w:w="885"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25DEAA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951</w:t>
            </w:r>
          </w:p>
        </w:tc>
        <w:tc>
          <w:tcPr>
            <w:tcW w:w="705"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7A800F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510</w:t>
            </w:r>
          </w:p>
        </w:tc>
        <w:tc>
          <w:tcPr>
            <w:tcW w:w="975"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0C7120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53.63%</w:t>
            </w:r>
          </w:p>
        </w:tc>
        <w:tc>
          <w:tcPr>
            <w:tcW w:w="720"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02C1E70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441</w:t>
            </w:r>
          </w:p>
        </w:tc>
        <w:tc>
          <w:tcPr>
            <w:tcW w:w="1005"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4371CD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46.37%</w:t>
            </w:r>
          </w:p>
        </w:tc>
        <w:tc>
          <w:tcPr>
            <w:tcW w:w="840"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3BC015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403</w:t>
            </w:r>
          </w:p>
        </w:tc>
        <w:tc>
          <w:tcPr>
            <w:tcW w:w="1110"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0316C15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42.38%</w:t>
            </w:r>
          </w:p>
        </w:tc>
        <w:tc>
          <w:tcPr>
            <w:tcW w:w="975" w:type="dxa"/>
            <w:tcBorders>
              <w:top w:val="nil"/>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5553F2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548</w:t>
            </w:r>
          </w:p>
        </w:tc>
        <w:tc>
          <w:tcPr>
            <w:tcW w:w="960" w:type="dxa"/>
            <w:tcBorders>
              <w:top w:val="nil"/>
              <w:left w:val="single" w:color="BDD6EE" w:themeColor="accent1" w:themeTint="66" w:sz="6" w:space="0"/>
              <w:bottom w:val="single" w:color="5B9BD5" w:themeColor="accent1" w:sz="6" w:space="0"/>
              <w:right w:val="single" w:color="5B9BD5" w:themeColor="accent1" w:sz="6" w:space="0"/>
            </w:tcBorders>
            <w:shd w:val="clear" w:color="auto" w:fill="FFFFFF"/>
            <w:vAlign w:val="center"/>
          </w:tcPr>
          <w:p w14:paraId="1957FC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57.62%</w:t>
            </w:r>
          </w:p>
        </w:tc>
      </w:tr>
      <w:tr w14:paraId="02BC1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52" w:type="dxa"/>
            <w:tcBorders>
              <w:top w:val="single" w:color="5B9BD5" w:themeColor="accent1" w:sz="6" w:space="0"/>
              <w:left w:val="single" w:color="5B9BD5" w:themeColor="accent1" w:sz="6" w:space="0"/>
              <w:bottom w:val="single" w:color="5B9BD5" w:themeColor="accent1" w:sz="6" w:space="0"/>
              <w:right w:val="nil"/>
            </w:tcBorders>
            <w:shd w:val="clear" w:color="auto" w:fill="5B9BD5" w:themeFill="accent1"/>
            <w:vAlign w:val="center"/>
          </w:tcPr>
          <w:p w14:paraId="03D30F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合计</w:t>
            </w:r>
          </w:p>
        </w:tc>
        <w:tc>
          <w:tcPr>
            <w:tcW w:w="885" w:type="dxa"/>
            <w:tcBorders>
              <w:top w:val="single" w:color="5B9BD5" w:themeColor="accent1" w:sz="6" w:space="0"/>
              <w:left w:val="nil"/>
              <w:bottom w:val="single" w:color="5B9BD5" w:themeColor="accent1" w:sz="6" w:space="0"/>
              <w:right w:val="nil"/>
            </w:tcBorders>
            <w:shd w:val="clear" w:color="auto" w:fill="5B9BD5" w:themeFill="accent1"/>
            <w:vAlign w:val="center"/>
          </w:tcPr>
          <w:p w14:paraId="0CED2E3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2880</w:t>
            </w:r>
          </w:p>
        </w:tc>
        <w:tc>
          <w:tcPr>
            <w:tcW w:w="705" w:type="dxa"/>
            <w:tcBorders>
              <w:top w:val="single" w:color="5B9BD5" w:themeColor="accent1" w:sz="6" w:space="0"/>
              <w:left w:val="nil"/>
              <w:bottom w:val="single" w:color="5B9BD5" w:themeColor="accent1" w:sz="6" w:space="0"/>
              <w:right w:val="nil"/>
            </w:tcBorders>
            <w:shd w:val="clear" w:color="auto" w:fill="5B9BD5" w:themeFill="accent1"/>
            <w:vAlign w:val="center"/>
          </w:tcPr>
          <w:p w14:paraId="2BD5788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1605</w:t>
            </w:r>
          </w:p>
        </w:tc>
        <w:tc>
          <w:tcPr>
            <w:tcW w:w="975" w:type="dxa"/>
            <w:tcBorders>
              <w:top w:val="single" w:color="5B9BD5" w:themeColor="accent1" w:sz="6" w:space="0"/>
              <w:left w:val="nil"/>
              <w:bottom w:val="single" w:color="5B9BD5" w:themeColor="accent1" w:sz="6" w:space="0"/>
              <w:right w:val="nil"/>
            </w:tcBorders>
            <w:shd w:val="clear" w:color="auto" w:fill="5B9BD5" w:themeFill="accent1"/>
            <w:noWrap/>
            <w:vAlign w:val="center"/>
          </w:tcPr>
          <w:p w14:paraId="668DBB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55.73%</w:t>
            </w:r>
          </w:p>
        </w:tc>
        <w:tc>
          <w:tcPr>
            <w:tcW w:w="720" w:type="dxa"/>
            <w:tcBorders>
              <w:top w:val="single" w:color="5B9BD5" w:themeColor="accent1" w:sz="6" w:space="0"/>
              <w:left w:val="nil"/>
              <w:bottom w:val="single" w:color="5B9BD5" w:themeColor="accent1" w:sz="6" w:space="0"/>
              <w:right w:val="nil"/>
            </w:tcBorders>
            <w:shd w:val="clear" w:color="auto" w:fill="5B9BD5" w:themeFill="accent1"/>
            <w:vAlign w:val="center"/>
          </w:tcPr>
          <w:p w14:paraId="38953E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1275</w:t>
            </w:r>
          </w:p>
        </w:tc>
        <w:tc>
          <w:tcPr>
            <w:tcW w:w="1005" w:type="dxa"/>
            <w:tcBorders>
              <w:top w:val="single" w:color="5B9BD5" w:themeColor="accent1" w:sz="6" w:space="0"/>
              <w:left w:val="nil"/>
              <w:bottom w:val="single" w:color="5B9BD5" w:themeColor="accent1" w:sz="6" w:space="0"/>
              <w:right w:val="nil"/>
            </w:tcBorders>
            <w:shd w:val="clear" w:color="auto" w:fill="5B9BD5" w:themeFill="accent1"/>
            <w:vAlign w:val="center"/>
          </w:tcPr>
          <w:p w14:paraId="1281B80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44.27%</w:t>
            </w:r>
          </w:p>
        </w:tc>
        <w:tc>
          <w:tcPr>
            <w:tcW w:w="840" w:type="dxa"/>
            <w:tcBorders>
              <w:top w:val="single" w:color="5B9BD5" w:themeColor="accent1" w:sz="6" w:space="0"/>
              <w:left w:val="nil"/>
              <w:bottom w:val="single" w:color="5B9BD5" w:themeColor="accent1" w:sz="6" w:space="0"/>
              <w:right w:val="nil"/>
            </w:tcBorders>
            <w:shd w:val="clear" w:color="auto" w:fill="5B9BD5" w:themeFill="accent1"/>
            <w:vAlign w:val="center"/>
          </w:tcPr>
          <w:p w14:paraId="5695B2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942</w:t>
            </w:r>
          </w:p>
        </w:tc>
        <w:tc>
          <w:tcPr>
            <w:tcW w:w="1110" w:type="dxa"/>
            <w:tcBorders>
              <w:top w:val="single" w:color="5B9BD5" w:themeColor="accent1" w:sz="6" w:space="0"/>
              <w:left w:val="nil"/>
              <w:bottom w:val="single" w:color="5B9BD5" w:themeColor="accent1" w:sz="6" w:space="0"/>
              <w:right w:val="nil"/>
            </w:tcBorders>
            <w:shd w:val="clear" w:color="auto" w:fill="5B9BD5" w:themeFill="accent1"/>
            <w:vAlign w:val="center"/>
          </w:tcPr>
          <w:p w14:paraId="1329D14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32.71%</w:t>
            </w:r>
          </w:p>
        </w:tc>
        <w:tc>
          <w:tcPr>
            <w:tcW w:w="975" w:type="dxa"/>
            <w:tcBorders>
              <w:top w:val="single" w:color="5B9BD5" w:themeColor="accent1" w:sz="6" w:space="0"/>
              <w:left w:val="nil"/>
              <w:bottom w:val="single" w:color="5B9BD5" w:themeColor="accent1" w:sz="6" w:space="0"/>
              <w:right w:val="nil"/>
            </w:tcBorders>
            <w:shd w:val="clear" w:color="auto" w:fill="5B9BD5" w:themeFill="accent1"/>
            <w:vAlign w:val="center"/>
          </w:tcPr>
          <w:p w14:paraId="381B45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1938</w:t>
            </w:r>
          </w:p>
        </w:tc>
        <w:tc>
          <w:tcPr>
            <w:tcW w:w="960" w:type="dxa"/>
            <w:tcBorders>
              <w:top w:val="single" w:color="5B9BD5" w:themeColor="accent1" w:sz="6" w:space="0"/>
              <w:left w:val="nil"/>
              <w:bottom w:val="single" w:color="5B9BD5" w:themeColor="accent1" w:sz="6" w:space="0"/>
              <w:right w:val="single" w:color="5B9BD5" w:themeColor="accent1" w:sz="6" w:space="0"/>
            </w:tcBorders>
            <w:shd w:val="clear" w:color="auto" w:fill="5B9BD5" w:themeFill="accent1"/>
            <w:vAlign w:val="center"/>
          </w:tcPr>
          <w:p w14:paraId="110265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67.29%</w:t>
            </w:r>
          </w:p>
        </w:tc>
      </w:tr>
    </w:tbl>
    <w:p w14:paraId="2F0D07C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8" w:name="_Toc17463"/>
      <w:r>
        <w:rPr>
          <w:rFonts w:hint="default"/>
          <w:color w:val="000000" w:themeColor="text1"/>
          <w14:textFill>
            <w14:solidFill>
              <w14:schemeClr w14:val="tx1"/>
            </w14:solidFill>
          </w14:textFill>
        </w:rPr>
        <w:t>1.4教师队伍</w:t>
      </w:r>
      <w:bookmarkEnd w:id="8"/>
    </w:p>
    <w:p w14:paraId="2EDE9D1A">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学校</w:t>
      </w:r>
      <w:r>
        <w:rPr>
          <w:rFonts w:hint="default" w:ascii="仿宋_GB2312" w:hAnsi="仿宋_GB2312" w:eastAsia="仿宋_GB2312" w:cs="仿宋_GB2312"/>
          <w:color w:val="000000" w:themeColor="text1"/>
          <w:sz w:val="32"/>
          <w:szCs w:val="32"/>
          <w14:textFill>
            <w14:solidFill>
              <w14:schemeClr w14:val="tx1"/>
            </w14:solidFill>
          </w14:textFill>
        </w:rPr>
        <w:t>拥有一支结构合理、素质优良的教师队伍。学校现有教职工230人，中级职称39人，高级职称38人，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其中</w:t>
      </w:r>
      <w:r>
        <w:rPr>
          <w:rFonts w:hint="eastAsia" w:ascii="仿宋_GB2312" w:hAnsi="仿宋_GB2312" w:cs="仿宋_GB2312"/>
          <w:color w:val="000000" w:themeColor="text1"/>
          <w:sz w:val="32"/>
          <w:szCs w:val="32"/>
          <w:lang w:val="en-US" w:eastAsia="zh-CN"/>
          <w14:textFill>
            <w14:solidFill>
              <w14:schemeClr w14:val="tx1"/>
            </w14:solidFill>
          </w14:textFill>
        </w:rPr>
        <w:t>“双师型”教师</w:t>
      </w:r>
      <w:r>
        <w:rPr>
          <w:rFonts w:hint="default" w:ascii="仿宋_GB2312" w:hAnsi="仿宋_GB2312" w:eastAsia="仿宋_GB2312" w:cs="仿宋_GB2312"/>
          <w:color w:val="000000" w:themeColor="text1"/>
          <w:sz w:val="32"/>
          <w:szCs w:val="32"/>
          <w14:textFill>
            <w14:solidFill>
              <w14:schemeClr w14:val="tx1"/>
            </w14:solidFill>
          </w14:textFill>
        </w:rPr>
        <w:t>80人，占专任教师的50%以上</w:t>
      </w:r>
      <w:r>
        <w:rPr>
          <w:rFonts w:hint="eastAsia" w:ascii="仿宋_GB2312" w:hAnsi="仿宋_GB2312" w:cs="仿宋_GB2312"/>
          <w:color w:val="000000" w:themeColor="text1"/>
          <w:sz w:val="32"/>
          <w:szCs w:val="32"/>
          <w:lang w:eastAsia="zh-CN"/>
          <w14:textFill>
            <w14:solidFill>
              <w14:schemeClr w14:val="tx1"/>
            </w14:solidFill>
          </w14:textFill>
        </w:rPr>
        <w:t>，</w:t>
      </w:r>
      <w:r>
        <w:rPr>
          <w:rFonts w:hint="default" w:ascii="仿宋_GB2312" w:hAnsi="仿宋_GB2312" w:eastAsia="仿宋_GB2312" w:cs="仿宋_GB2312"/>
          <w:color w:val="000000" w:themeColor="text1"/>
          <w:sz w:val="32"/>
          <w:szCs w:val="32"/>
          <w14:textFill>
            <w14:solidFill>
              <w14:schemeClr w14:val="tx1"/>
            </w14:solidFill>
          </w14:textFill>
        </w:rPr>
        <w:t>师生比达到1</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default"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default" w:ascii="仿宋_GB2312" w:hAnsi="仿宋_GB2312" w:eastAsia="仿宋_GB2312" w:cs="仿宋_GB2312"/>
          <w:color w:val="000000" w:themeColor="text1"/>
          <w:sz w:val="32"/>
          <w:szCs w:val="32"/>
          <w14:textFill>
            <w14:solidFill>
              <w14:schemeClr w14:val="tx1"/>
            </w14:solidFill>
          </w14:textFill>
        </w:rPr>
        <w:t>。学校有</w:t>
      </w:r>
      <w:r>
        <w:rPr>
          <w:rFonts w:hint="eastAsia" w:ascii="仿宋_GB2312" w:hAnsi="仿宋_GB2312" w:eastAsia="仿宋_GB2312" w:cs="仿宋_GB2312"/>
          <w:color w:val="000000" w:themeColor="text1"/>
          <w:sz w:val="32"/>
          <w:szCs w:val="32"/>
          <w:lang w:eastAsia="zh-CN"/>
          <w14:textFill>
            <w14:solidFill>
              <w14:schemeClr w14:val="tx1"/>
            </w14:solidFill>
          </w14:textFill>
        </w:rPr>
        <w:t>以企</w:t>
      </w:r>
      <w:r>
        <w:rPr>
          <w:rFonts w:hint="default" w:ascii="仿宋_GB2312" w:hAnsi="仿宋_GB2312" w:eastAsia="仿宋_GB2312" w:cs="仿宋_GB2312"/>
          <w:color w:val="000000" w:themeColor="text1"/>
          <w:sz w:val="32"/>
          <w:szCs w:val="32"/>
          <w14:textFill>
            <w14:solidFill>
              <w14:schemeClr w14:val="tx1"/>
            </w14:solidFill>
          </w14:textFill>
        </w:rPr>
        <w:t>业、医院、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高校的</w:t>
      </w:r>
      <w:r>
        <w:rPr>
          <w:rFonts w:hint="default" w:ascii="仿宋_GB2312" w:hAnsi="仿宋_GB2312" w:eastAsia="仿宋_GB2312" w:cs="仿宋_GB2312"/>
          <w:color w:val="000000" w:themeColor="text1"/>
          <w:sz w:val="32"/>
          <w:szCs w:val="32"/>
          <w14:textFill>
            <w14:solidFill>
              <w14:schemeClr w14:val="tx1"/>
            </w14:solidFill>
          </w14:textFill>
        </w:rPr>
        <w:t>高技能人才为主体</w:t>
      </w:r>
      <w:r>
        <w:rPr>
          <w:rFonts w:hint="eastAsia" w:ascii="仿宋_GB2312" w:hAnsi="仿宋_GB2312" w:cs="仿宋_GB2312"/>
          <w:color w:val="000000" w:themeColor="text1"/>
          <w:sz w:val="32"/>
          <w:szCs w:val="32"/>
          <w:lang w:eastAsia="zh-CN"/>
          <w14:textFill>
            <w14:solidFill>
              <w14:schemeClr w14:val="tx1"/>
            </w14:solidFill>
          </w14:textFill>
        </w:rPr>
        <w:t>的</w:t>
      </w:r>
      <w:r>
        <w:rPr>
          <w:rFonts w:hint="default" w:ascii="仿宋_GB2312" w:hAnsi="仿宋_GB2312" w:eastAsia="仿宋_GB2312" w:cs="仿宋_GB2312"/>
          <w:color w:val="000000" w:themeColor="text1"/>
          <w:sz w:val="32"/>
          <w:szCs w:val="32"/>
          <w14:textFill>
            <w14:solidFill>
              <w14:schemeClr w14:val="tx1"/>
            </w14:solidFill>
          </w14:textFill>
        </w:rPr>
        <w:t>师资库。专任教师学历达到规定标准，专业对口的教师占100%；专任教师中的理论课教师学历均达到本科及</w:t>
      </w:r>
      <w:r>
        <w:rPr>
          <w:rFonts w:hint="eastAsia" w:ascii="仿宋_GB2312" w:hAnsi="仿宋_GB2312" w:cs="仿宋_GB2312"/>
          <w:color w:val="000000" w:themeColor="text1"/>
          <w:sz w:val="32"/>
          <w:szCs w:val="32"/>
          <w:lang w:eastAsia="zh-CN"/>
          <w14:textFill>
            <w14:solidFill>
              <w14:schemeClr w14:val="tx1"/>
            </w14:solidFill>
          </w14:textFill>
        </w:rPr>
        <w:t>以上</w:t>
      </w:r>
      <w:r>
        <w:rPr>
          <w:rFonts w:hint="default" w:ascii="仿宋_GB2312" w:hAnsi="仿宋_GB2312" w:eastAsia="仿宋_GB2312" w:cs="仿宋_GB2312"/>
          <w:color w:val="000000" w:themeColor="text1"/>
          <w:sz w:val="32"/>
          <w:szCs w:val="32"/>
          <w14:textFill>
            <w14:solidFill>
              <w14:schemeClr w14:val="tx1"/>
            </w14:solidFill>
          </w14:textFill>
        </w:rPr>
        <w:t>，其中研究生学历</w:t>
      </w:r>
      <w:r>
        <w:rPr>
          <w:rFonts w:hint="eastAsia" w:ascii="仿宋_GB2312" w:hAnsi="仿宋_GB2312" w:cs="仿宋_GB2312"/>
          <w:color w:val="000000" w:themeColor="text1"/>
          <w:sz w:val="32"/>
          <w:szCs w:val="32"/>
          <w:lang w:eastAsia="zh-CN"/>
          <w14:textFill>
            <w14:solidFill>
              <w14:schemeClr w14:val="tx1"/>
            </w14:solidFill>
          </w14:textFill>
        </w:rPr>
        <w:t>占比达到</w:t>
      </w:r>
      <w:r>
        <w:rPr>
          <w:rFonts w:hint="default" w:ascii="仿宋_GB2312" w:hAnsi="仿宋_GB2312" w:eastAsia="仿宋_GB2312" w:cs="仿宋_GB2312"/>
          <w:color w:val="000000" w:themeColor="text1"/>
          <w:sz w:val="32"/>
          <w:szCs w:val="32"/>
          <w14:textFill>
            <w14:solidFill>
              <w14:schemeClr w14:val="tx1"/>
            </w14:solidFill>
          </w14:textFill>
        </w:rPr>
        <w:t>15.6%；专业课教师数量</w:t>
      </w:r>
      <w:r>
        <w:rPr>
          <w:rFonts w:hint="eastAsia" w:ascii="仿宋_GB2312" w:hAnsi="仿宋_GB2312" w:cs="仿宋_GB2312"/>
          <w:color w:val="000000" w:themeColor="text1"/>
          <w:sz w:val="32"/>
          <w:szCs w:val="32"/>
          <w:lang w:eastAsia="zh-CN"/>
          <w14:textFill>
            <w14:solidFill>
              <w14:schemeClr w14:val="tx1"/>
            </w14:solidFill>
          </w14:textFill>
        </w:rPr>
        <w:t>占</w:t>
      </w:r>
      <w:r>
        <w:rPr>
          <w:rFonts w:hint="default" w:ascii="仿宋_GB2312" w:hAnsi="仿宋_GB2312" w:eastAsia="仿宋_GB2312" w:cs="仿宋_GB2312"/>
          <w:color w:val="000000" w:themeColor="text1"/>
          <w:sz w:val="32"/>
          <w:szCs w:val="32"/>
          <w14:textFill>
            <w14:solidFill>
              <w14:schemeClr w14:val="tx1"/>
            </w14:solidFill>
          </w14:textFill>
        </w:rPr>
        <w:t>专任教师的</w:t>
      </w:r>
      <w:r>
        <w:rPr>
          <w:rFonts w:hint="eastAsia" w:ascii="仿宋_GB2312" w:hAnsi="仿宋_GB2312" w:cs="仿宋_GB2312"/>
          <w:color w:val="000000" w:themeColor="text1"/>
          <w:sz w:val="32"/>
          <w:szCs w:val="32"/>
          <w:lang w:eastAsia="zh-CN"/>
          <w14:textFill>
            <w14:solidFill>
              <w14:schemeClr w14:val="tx1"/>
            </w14:solidFill>
          </w14:textFill>
        </w:rPr>
        <w:t>比例高于50%</w:t>
      </w:r>
      <w:r>
        <w:rPr>
          <w:rFonts w:hint="default" w:ascii="仿宋_GB2312" w:hAnsi="仿宋_GB2312" w:eastAsia="仿宋_GB2312" w:cs="仿宋_GB2312"/>
          <w:color w:val="000000" w:themeColor="text1"/>
          <w:sz w:val="32"/>
          <w:szCs w:val="32"/>
          <w14:textFill>
            <w14:solidFill>
              <w14:schemeClr w14:val="tx1"/>
            </w14:solidFill>
          </w14:textFill>
        </w:rPr>
        <w:t>，其中“双师型”教师</w:t>
      </w:r>
      <w:r>
        <w:rPr>
          <w:rFonts w:hint="eastAsia" w:ascii="仿宋_GB2312" w:hAnsi="仿宋_GB2312" w:cs="仿宋_GB2312"/>
          <w:color w:val="000000" w:themeColor="text1"/>
          <w:sz w:val="32"/>
          <w:szCs w:val="32"/>
          <w:lang w:eastAsia="zh-CN"/>
          <w14:textFill>
            <w14:solidFill>
              <w14:schemeClr w14:val="tx1"/>
            </w14:solidFill>
          </w14:textFill>
        </w:rPr>
        <w:t>占比达到</w:t>
      </w:r>
      <w:r>
        <w:rPr>
          <w:rFonts w:hint="default" w:ascii="仿宋_GB2312" w:hAnsi="仿宋_GB2312" w:eastAsia="仿宋_GB2312" w:cs="仿宋_GB2312"/>
          <w:color w:val="000000" w:themeColor="text1"/>
          <w:sz w:val="32"/>
          <w:szCs w:val="32"/>
          <w14:textFill>
            <w14:solidFill>
              <w14:schemeClr w14:val="tx1"/>
            </w14:solidFill>
          </w14:textFill>
        </w:rPr>
        <w:t>50%以上。</w:t>
      </w:r>
      <w:r>
        <w:rPr>
          <w:rFonts w:hint="eastAsia" w:ascii="仿宋_GB2312" w:hAnsi="仿宋_GB2312" w:eastAsia="仿宋_GB2312" w:cs="仿宋_GB2312"/>
          <w:color w:val="000000" w:themeColor="text1"/>
          <w:sz w:val="32"/>
          <w:szCs w:val="32"/>
          <w:lang w:eastAsia="zh-CN"/>
          <w14:textFill>
            <w14:solidFill>
              <w14:schemeClr w14:val="tx1"/>
            </w14:solidFill>
          </w14:textFill>
        </w:rPr>
        <w:t>教师队伍中涌现出一批教学名师、骨干教师和优秀团队，多人在市级以上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各类教学</w:t>
      </w:r>
      <w:r>
        <w:rPr>
          <w:rFonts w:hint="eastAsia" w:ascii="仿宋_GB2312" w:hAnsi="仿宋_GB2312" w:eastAsia="仿宋_GB2312" w:cs="仿宋_GB2312"/>
          <w:color w:val="000000" w:themeColor="text1"/>
          <w:sz w:val="32"/>
          <w:szCs w:val="32"/>
          <w:lang w:eastAsia="zh-CN"/>
          <w14:textFill>
            <w14:solidFill>
              <w14:schemeClr w14:val="tx1"/>
            </w14:solidFill>
          </w14:textFill>
        </w:rPr>
        <w:t>比赛中获奖。</w:t>
      </w:r>
    </w:p>
    <w:p w14:paraId="6F7B31F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9" w:name="_Toc25423"/>
      <w:r>
        <w:rPr>
          <w:rFonts w:hint="default"/>
          <w:color w:val="000000" w:themeColor="text1"/>
          <w14:textFill>
            <w14:solidFill>
              <w14:schemeClr w14:val="tx1"/>
            </w14:solidFill>
          </w14:textFill>
        </w:rPr>
        <w:t>1.5设施设备</w:t>
      </w:r>
      <w:bookmarkEnd w:id="9"/>
    </w:p>
    <w:bookmarkEnd w:id="0"/>
    <w:bookmarkEnd w:id="1"/>
    <w:p w14:paraId="646C8E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学校教学设施完备，拥有现代化的教学楼与实验实训楼等专业教学场所。实验实训设备先进</w:t>
      </w:r>
      <w:r>
        <w:rPr>
          <w:rFonts w:hint="eastAsia" w:ascii="仿宋_GB2312" w:hAnsi="仿宋_GB2312" w:cs="仿宋_GB2312"/>
          <w:color w:val="000000" w:themeColor="text1"/>
          <w:sz w:val="32"/>
          <w:szCs w:val="32"/>
          <w:lang w:eastAsia="zh-CN"/>
          <w14:textFill>
            <w14:solidFill>
              <w14:schemeClr w14:val="tx1"/>
            </w14:solidFill>
          </w14:textFill>
        </w:rPr>
        <w:t>，设有</w:t>
      </w:r>
      <w:r>
        <w:rPr>
          <w:rFonts w:hint="eastAsia" w:ascii="仿宋_GB2312" w:hAnsi="仿宋_GB2312" w:eastAsia="仿宋_GB2312" w:cs="仿宋_GB2312"/>
          <w:sz w:val="32"/>
          <w:szCs w:val="40"/>
          <w:lang w:val="en-US" w:eastAsia="zh-CN"/>
        </w:rPr>
        <w:t>基础化学</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天然药物化学</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显微室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中药标本室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药物制剂室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模拟药房</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精密仪器室</w:t>
      </w:r>
      <w:r>
        <w:rPr>
          <w:rFonts w:hint="eastAsia" w:ascii="仿宋_GB2312" w:hAnsi="仿宋_GB2312" w:cs="仿宋_GB2312"/>
          <w:sz w:val="32"/>
          <w:szCs w:val="40"/>
          <w:lang w:val="en-US" w:eastAsia="zh-CN"/>
        </w:rPr>
        <w:t>、传统</w:t>
      </w:r>
      <w:r>
        <w:rPr>
          <w:rFonts w:hint="eastAsia" w:ascii="仿宋_GB2312" w:hAnsi="仿宋_GB2312" w:eastAsia="仿宋_GB2312" w:cs="仿宋_GB2312"/>
          <w:sz w:val="32"/>
          <w:szCs w:val="40"/>
          <w:lang w:val="en-US" w:eastAsia="zh-CN"/>
        </w:rPr>
        <w:t>康复实训室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现代康复室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口腔综合治疗室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口腔实训操作室</w:t>
      </w:r>
      <w:r>
        <w:rPr>
          <w:rFonts w:hint="eastAsia" w:ascii="仿宋_GB2312" w:hAnsi="仿宋_GB2312" w:cs="仿宋_GB2312"/>
          <w:sz w:val="32"/>
          <w:szCs w:val="40"/>
          <w:lang w:val="en-US" w:eastAsia="zh-CN"/>
        </w:rPr>
        <w:t>、</w:t>
      </w:r>
      <w:r>
        <w:rPr>
          <w:rFonts w:hint="eastAsia" w:ascii="仿宋_GB2312" w:hAnsi="仿宋_GB2312" w:eastAsia="仿宋_GB2312" w:cs="仿宋_GB2312"/>
          <w:sz w:val="32"/>
          <w:szCs w:val="40"/>
          <w:lang w:val="en-US" w:eastAsia="zh-CN"/>
        </w:rPr>
        <w:t>3D打印生产线</w:t>
      </w:r>
      <w:r>
        <w:rPr>
          <w:rFonts w:hint="eastAsia" w:ascii="仿宋_GB2312" w:hAnsi="仿宋_GB2312" w:cs="仿宋_GB2312"/>
          <w:sz w:val="32"/>
          <w:szCs w:val="40"/>
          <w:lang w:val="en-US" w:eastAsia="zh-CN"/>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17个专业实验室，</w:t>
      </w:r>
      <w:r>
        <w:rPr>
          <w:rFonts w:hint="eastAsia" w:ascii="仿宋_GB2312" w:hAnsi="仿宋_GB2312" w:eastAsia="仿宋_GB2312" w:cs="仿宋_GB2312"/>
          <w:sz w:val="32"/>
          <w:szCs w:val="32"/>
          <w:lang w:val="en-US" w:eastAsia="zh-CN"/>
        </w:rPr>
        <w:t>教学仪器设备总价值超</w:t>
      </w:r>
      <w:r>
        <w:rPr>
          <w:rFonts w:hint="eastAsia" w:ascii="仿宋_GB2312" w:hAnsi="仿宋_GB2312" w:eastAsia="仿宋_GB2312" w:cs="仿宋_GB2312"/>
          <w:bCs/>
          <w:sz w:val="32"/>
          <w:szCs w:val="32"/>
          <w:lang w:val="en-US" w:eastAsia="zh-CN"/>
        </w:rPr>
        <w:t>1100</w:t>
      </w:r>
      <w:r>
        <w:rPr>
          <w:rFonts w:hint="eastAsia" w:ascii="仿宋_GB2312" w:hAnsi="仿宋_GB2312" w:eastAsia="仿宋_GB2312" w:cs="仿宋_GB2312"/>
          <w:sz w:val="32"/>
          <w:szCs w:val="32"/>
          <w:lang w:val="en-US" w:eastAsia="zh-CN"/>
        </w:rPr>
        <w:t>万元，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生均仪器设备值达3600</w:t>
      </w:r>
      <w:r>
        <w:rPr>
          <w:rFonts w:hint="eastAsia" w:ascii="仿宋_GB2312" w:hAnsi="仿宋_GB2312" w:cs="仿宋_GB2312"/>
          <w:color w:val="000000" w:themeColor="text1"/>
          <w:sz w:val="32"/>
          <w:szCs w:val="32"/>
          <w:lang w:val="en-US" w:eastAsia="zh-CN"/>
          <w14:textFill>
            <w14:solidFill>
              <w14:schemeClr w14:val="tx1"/>
            </w14:solidFill>
          </w14:textFill>
        </w:rPr>
        <w:t>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，不仅满足学生实践教学需求，更为培养其动手能力与创新能力提供了优越条件</w:t>
      </w:r>
      <w:r>
        <w:rPr>
          <w:rFonts w:hint="eastAsia" w:ascii="仿宋_GB2312" w:hAnsi="仿宋_GB2312" w:cs="仿宋_GB2312"/>
          <w:color w:val="000000" w:themeColor="text1"/>
          <w:sz w:val="32"/>
          <w:szCs w:val="32"/>
          <w:lang w:val="en-US" w:eastAsia="zh-CN"/>
          <w14:textFill>
            <w14:solidFill>
              <w14:schemeClr w14:val="tx1"/>
            </w14:solidFill>
          </w14:textFill>
        </w:rPr>
        <w:t>。</w:t>
      </w:r>
      <w:r>
        <w:rPr>
          <w:rFonts w:hint="eastAsia" w:ascii="仿宋_GB2312" w:eastAsia="仿宋_GB2312"/>
          <w:color w:val="auto"/>
          <w:sz w:val="32"/>
          <w:szCs w:val="32"/>
          <w:lang w:val="en-US" w:eastAsia="zh-CN"/>
        </w:rPr>
        <w:t>各专业实训课开出率均达计划数的85%以上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，实训基地与企业深度对接，全面推行“教、学、做”一体化教学模式。</w:t>
      </w:r>
    </w:p>
    <w:p w14:paraId="33FE664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学校图书馆藏书丰富，</w:t>
      </w:r>
      <w:r>
        <w:rPr>
          <w:rFonts w:hint="eastAsia" w:ascii="仿宋_GB2312" w:hAnsi="仿宋_GB2312" w:cs="仿宋_GB2312"/>
          <w:color w:val="000000" w:themeColor="text1"/>
          <w:sz w:val="32"/>
          <w:szCs w:val="32"/>
          <w:lang w:val="en-US" w:eastAsia="zh-CN"/>
          <w14:textFill>
            <w14:solidFill>
              <w14:schemeClr w14:val="tx1"/>
            </w14:solidFill>
          </w14:textFill>
        </w:rPr>
        <w:t>生均纸质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图书35册，电子资源覆盖主要专业领域，为教学提供有力支撑。校园信息化建设稳步推进，智慧教室与在线服务广泛应用，推动教育手段向多元化发展。各类体育设施完善，为学生身心健康全面发展提供保障。</w:t>
      </w:r>
    </w:p>
    <w:p w14:paraId="528F78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校持续推进绿色校园、智慧校园与人文校园建设，注重节能减排与生态保护，营造健康宜学的育人环境。各类教学与生活设施均实行动态更新与精细化管理，确保运行高效、服务到位。通过持续完善办学条件，学校为高素质技术技能人才的成长筑牢坚实基础，持续助力区域卫生健康事业发展。</w:t>
      </w:r>
    </w:p>
    <w:p w14:paraId="36E9F8B9">
      <w:pPr>
        <w:pStyle w:val="2"/>
        <w:keepNext w:val="0"/>
        <w:keepLines w:val="0"/>
        <w:pageBreakBefore w:val="0"/>
        <w:widowControl w:val="0"/>
        <w:kinsoku/>
        <w:wordWrap/>
        <w:overflowPunct/>
        <w:topLinePunct w:val="0"/>
        <w:autoSpaceDE/>
        <w:autoSpaceDN/>
        <w:bidi w:val="0"/>
        <w:adjustRightInd/>
        <w:snapToGrid/>
        <w:spacing w:line="560" w:lineRule="exact"/>
        <w:ind w:left="640" w:leftChars="200" w:firstLine="0" w:firstLineChars="0"/>
        <w:textAlignment w:val="auto"/>
        <w:rPr>
          <w:rFonts w:hint="eastAsia"/>
          <w:color w:val="000000" w:themeColor="text1"/>
          <w:lang w:val="en-US" w:eastAsia="zh-CN"/>
          <w14:textFill>
            <w14:solidFill>
              <w14:schemeClr w14:val="tx1"/>
            </w14:solidFill>
          </w14:textFill>
        </w:rPr>
      </w:pPr>
      <w:bookmarkStart w:id="10" w:name="_Toc14191"/>
      <w:r>
        <w:rPr>
          <w:rFonts w:hint="eastAsia"/>
          <w:color w:val="000000" w:themeColor="text1"/>
          <w:lang w:val="en-US" w:eastAsia="zh-CN"/>
          <w14:textFill>
            <w14:solidFill>
              <w14:schemeClr w14:val="tx1"/>
            </w14:solidFill>
          </w14:textFill>
        </w:rPr>
        <w:t>2.人才培养</w:t>
      </w:r>
      <w:bookmarkEnd w:id="10"/>
      <w:r>
        <w:rPr>
          <w:rFonts w:hint="eastAsia"/>
          <w:color w:val="000000" w:themeColor="text1"/>
          <w:lang w:val="en-US" w:eastAsia="zh-CN"/>
          <w14:textFill>
            <w14:solidFill>
              <w14:schemeClr w14:val="tx1"/>
            </w14:solidFill>
          </w14:textFill>
        </w:rPr>
        <w:t xml:space="preserve"> </w:t>
      </w:r>
    </w:p>
    <w:p w14:paraId="5B690D4F">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bookmarkStart w:id="11" w:name="_Toc2116"/>
      <w:r>
        <w:rPr>
          <w:rFonts w:hint="eastAsia"/>
          <w:color w:val="000000" w:themeColor="text1"/>
          <w14:textFill>
            <w14:solidFill>
              <w14:schemeClr w14:val="tx1"/>
            </w14:solidFill>
          </w14:textFill>
        </w:rPr>
        <w:t>2.1党建引领</w:t>
      </w:r>
      <w:bookmarkEnd w:id="11"/>
      <w:r>
        <w:rPr>
          <w:rFonts w:hint="eastAsia"/>
          <w:color w:val="000000" w:themeColor="text1"/>
          <w:lang w:val="en-US" w:eastAsia="zh-CN"/>
          <w14:textFill>
            <w14:solidFill>
              <w14:schemeClr w14:val="tx1"/>
            </w14:solidFill>
          </w14:textFill>
        </w:rPr>
        <w:t xml:space="preserve"> </w:t>
      </w:r>
    </w:p>
    <w:p w14:paraId="49FD416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2.1.1学校党支部认真贯彻落实中共中央办公厅印发的《关于加强民办学校党的建设工作的意见》，始终坚持把思想政治建设放在首位，</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增强“四个意识”、坚定“四个自信”、做到“两个维护”</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。把党组织建设有关内容写入学校章程，健全党组织参与决策和监督机制，推进党组织班子与学校决策层、管理层“双向进入、交叉任职”。</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党支部书记由学校高层管理人员担任，确保党建工作与学校发展同部署、同落实。定期召开支部会议，研究重大事项决策，强化党组织在办学治校中的政治引领作用。</w:t>
      </w:r>
    </w:p>
    <w:p w14:paraId="7322ECFE">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2.1.2结合教育工作实际，组织广大党员干部和教职工以提高执教能力为目标，扎实开展学习贯彻习近平新时代中国特色社会主义思想主题教育，制定学习方案，落实学习计划。坚持每月开展主题教育系列活动、</w:t>
      </w:r>
      <w:r>
        <w:rPr>
          <w:rFonts w:ascii="仿宋_GB2312" w:hAnsi="仿宋_GB2312" w:eastAsia="仿宋_GB2312" w:cs="仿宋_GB2312"/>
          <w:b w:val="0"/>
          <w:bCs w:val="0"/>
          <w:color w:val="000000" w:themeColor="text1"/>
          <w:kern w:val="2"/>
          <w:sz w:val="32"/>
          <w:szCs w:val="32"/>
          <w14:textFill>
            <w14:solidFill>
              <w14:schemeClr w14:val="tx1"/>
            </w14:solidFill>
          </w14:textFill>
        </w:rPr>
        <w:t>参与学习党的二十大</w:t>
      </w:r>
      <w:r>
        <w:rPr>
          <w:rFonts w:hint="eastAsia" w:ascii="仿宋_GB2312" w:hAnsi="仿宋_GB2312" w:cs="仿宋_GB2312"/>
          <w:b w:val="0"/>
          <w:bCs w:val="0"/>
          <w:color w:val="000000" w:themeColor="text1"/>
          <w:kern w:val="2"/>
          <w:sz w:val="32"/>
          <w:szCs w:val="32"/>
          <w:lang w:eastAsia="zh-CN"/>
          <w14:textFill>
            <w14:solidFill>
              <w14:schemeClr w14:val="tx1"/>
            </w14:solidFill>
          </w14:textFill>
        </w:rPr>
        <w:t>精神系列</w:t>
      </w:r>
      <w:r>
        <w:rPr>
          <w:rFonts w:ascii="仿宋_GB2312" w:hAnsi="仿宋_GB2312" w:eastAsia="仿宋_GB2312" w:cs="仿宋_GB2312"/>
          <w:b w:val="0"/>
          <w:bCs w:val="0"/>
          <w:color w:val="000000" w:themeColor="text1"/>
          <w:kern w:val="2"/>
          <w:sz w:val="32"/>
          <w:szCs w:val="32"/>
          <w14:textFill>
            <w14:solidFill>
              <w14:schemeClr w14:val="tx1"/>
            </w14:solidFill>
          </w14:textFill>
        </w:rPr>
        <w:t>活动、党纪学习教育以及参观爱国主义教育基地等</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，通过党员自学与支部研讨相结合、政治理论与专业知识相结合、理论学习与教育实践相结合，凝聚集体力量，实现由学习成果向工作成效的转化。</w:t>
      </w:r>
    </w:p>
    <w:p w14:paraId="7879A17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2.1.3学校</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坚持以党建引领团建，强化共青团组织建设，把团建工作纳入党建工作总体布局，形成党团协同、齐抓共管的工作机制。定期开展青年马克思主义者培养工程，组织团员深入学习党的创新理论，厚植爱党爱国情怀。通过主题团日、志愿服务、社会实践等形式，引导青年学生听党话、跟党走，提升思想政治素养。党组织在青年学生思想引领中的核心作用不断彰显，推动立德树人根本任务落地见效。通过党团联动机制，把思想政治教育融入日常生活，并牢牢抓住经常性工作，形成全员全过程全方位育人格局。学生理想信念更加坚定，社会责任感持续增强，一批又一批青年学子在党的光辉旗帜下茁壮成长，自觉将个人理想融入国家发展伟业。</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本年度学校积极开展“习近平新时代中国特色社会主义思想”“传承中华优秀传统文化”“技能成才强国有我”“重大节日”“工匠精神”等主题教育系列党团活动。</w:t>
      </w:r>
    </w:p>
    <w:p w14:paraId="47F73DC0">
      <w:pPr>
        <w:pStyle w:val="10"/>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color w:val="000000" w:themeColor="text1"/>
          <w:lang w:val="en-US" w:eastAsia="zh-CN"/>
          <w14:textFill>
            <w14:solidFill>
              <w14:schemeClr w14:val="tx1"/>
            </w14:solidFill>
          </w14:textFill>
        </w:rPr>
      </w:pPr>
      <w:r>
        <w:rPr>
          <w:rFonts w:ascii="宋体" w:hAnsi="宋体" w:eastAsia="宋体" w:cs="宋体"/>
          <w:color w:val="0000FF"/>
          <w:kern w:val="0"/>
          <w:sz w:val="24"/>
          <w:szCs w:val="24"/>
          <w:vertAlign w:val="baseline"/>
          <w:lang w:val="en-US" w:eastAsia="zh-CN" w:bidi="ar"/>
        </w:rPr>
        <w:drawing>
          <wp:anchor distT="0" distB="0" distL="114300" distR="114300" simplePos="0" relativeHeight="251670528" behindDoc="1" locked="0" layoutInCell="1" allowOverlap="1">
            <wp:simplePos x="0" y="0"/>
            <wp:positionH relativeFrom="column">
              <wp:posOffset>291465</wp:posOffset>
            </wp:positionH>
            <wp:positionV relativeFrom="paragraph">
              <wp:posOffset>6985</wp:posOffset>
            </wp:positionV>
            <wp:extent cx="4969510" cy="3239770"/>
            <wp:effectExtent l="0" t="0" r="40640" b="55880"/>
            <wp:wrapTight wrapText="bothSides">
              <wp:wrapPolygon>
                <wp:start x="0" y="0"/>
                <wp:lineTo x="0" y="21465"/>
                <wp:lineTo x="21528" y="21465"/>
                <wp:lineTo x="21528" y="0"/>
                <wp:lineTo x="0" y="0"/>
              </wp:wrapPolygon>
            </wp:wrapTight>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4"/>
                    <a:stretch>
                      <a:fillRect/>
                    </a:stretch>
                  </pic:blipFill>
                  <pic:spPr>
                    <a:xfrm>
                      <a:off x="0" y="0"/>
                      <a:ext cx="4969510" cy="3239770"/>
                    </a:xfrm>
                    <a:prstGeom prst="rect">
                      <a:avLst/>
                    </a:prstGeom>
                    <a:noFill/>
                    <a:ln w="9525">
                      <a:noFill/>
                    </a:ln>
                  </pic:spPr>
                </pic:pic>
              </a:graphicData>
            </a:graphic>
          </wp:anchor>
        </w:drawing>
      </w:r>
      <w:r>
        <w:rPr>
          <w:color w:val="000000" w:themeColor="text1"/>
          <w:sz w:val="24"/>
          <w:szCs w:val="24"/>
          <w14:textFill>
            <w14:solidFill>
              <w14:schemeClr w14:val="tx1"/>
            </w14:solidFill>
          </w14:textFill>
        </w:rPr>
        <w:t xml:space="preserve">图 </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SEQ 图 \* ARABIC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bookmarkStart w:id="12" w:name="_Toc25529"/>
      <w:bookmarkStart w:id="13" w:name="_Toc11914"/>
      <w:bookmarkStart w:id="14" w:name="_Toc7214"/>
      <w:bookmarkStart w:id="15" w:name="_Toc8948"/>
      <w:bookmarkStart w:id="16" w:name="_Toc15461"/>
      <w:bookmarkStart w:id="17" w:name="_Toc31704"/>
      <w:bookmarkStart w:id="18" w:name="_Toc14616"/>
      <w:bookmarkStart w:id="19" w:name="_Toc29070"/>
      <w:bookmarkStart w:id="20" w:name="_Toc22128"/>
      <w:r>
        <w:rPr>
          <w:rFonts w:hint="eastAsia"/>
          <w:color w:val="000000" w:themeColor="text1"/>
          <w:sz w:val="24"/>
          <w:szCs w:val="24"/>
          <w:lang w:eastAsia="zh-CN"/>
          <w14:textFill>
            <w14:solidFill>
              <w14:schemeClr w14:val="tx1"/>
            </w14:solidFill>
          </w14:textFill>
        </w:rPr>
        <w:t>：</w:t>
      </w:r>
      <w:bookmarkEnd w:id="12"/>
      <w:bookmarkEnd w:id="13"/>
      <w:bookmarkEnd w:id="14"/>
      <w:bookmarkEnd w:id="15"/>
      <w:bookmarkEnd w:id="16"/>
      <w:bookmarkEnd w:id="17"/>
      <w:bookmarkEnd w:id="18"/>
      <w:bookmarkEnd w:id="19"/>
      <w:r>
        <w:rPr>
          <w:rFonts w:hint="eastAsia"/>
          <w:color w:val="000000" w:themeColor="text1"/>
          <w:sz w:val="24"/>
          <w:szCs w:val="24"/>
          <w:lang w:eastAsia="zh-CN"/>
          <w14:textFill>
            <w14:solidFill>
              <w14:schemeClr w14:val="tx1"/>
            </w14:solidFill>
          </w14:textFill>
        </w:rPr>
        <w:t>追寻红色足迹</w:t>
      </w:r>
      <w:r>
        <w:rPr>
          <w:rFonts w:hint="eastAsia"/>
          <w:color w:val="000000" w:themeColor="text1"/>
          <w:sz w:val="24"/>
          <w:szCs w:val="24"/>
          <w:lang w:val="en-US" w:eastAsia="zh-CN"/>
          <w14:textFill>
            <w14:solidFill>
              <w14:schemeClr w14:val="tx1"/>
            </w14:solidFill>
          </w14:textFill>
        </w:rPr>
        <w:t xml:space="preserve"> 缅怀革命先烈</w:t>
      </w:r>
      <w:bookmarkEnd w:id="20"/>
    </w:p>
    <w:p w14:paraId="078BD272">
      <w:pPr>
        <w:pStyle w:val="10"/>
        <w:bidi w:val="0"/>
        <w:rPr>
          <w:rFonts w:hint="eastAsia"/>
        </w:rPr>
      </w:pPr>
      <w:r>
        <w:rPr>
          <w:rFonts w:hint="eastAsia"/>
          <w:lang w:val="en-US" w:eastAsia="zh-CN"/>
        </w:rPr>
        <w:t>学校组织开展主题教育系列活动，采用升旗仪式、观影、参观红色教育基地、主题班会、研讨会等形式，学习革命先辈传承给我们的革命精神，在面对各种困难和风险的考验中披荆斩棘、勇往直前不断开辟胜利道路。</w:t>
      </w:r>
    </w:p>
    <w:p w14:paraId="5295360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color w:val="000000" w:themeColor="text1"/>
          <w:sz w:val="24"/>
          <w:szCs w:val="24"/>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2.1.4在实现中华民族伟大复兴的征程上，中国共产党是先锋队，共青团是突击队，学校不断加强党团队伍建设，做好党员、团员发展工作，源源不断地为党的队伍纳入新鲜血液，202</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年有2位同志完成发展对象的短期培训，</w:t>
      </w:r>
      <w:r>
        <w:rPr>
          <w:rFonts w:hint="eastAsia" w:ascii="仿宋" w:hAnsi="仿宋" w:eastAsia="仿宋" w:cs="仿宋"/>
          <w:b w:val="0"/>
          <w:bCs w:val="0"/>
          <w:i w:val="0"/>
          <w:caps w:val="0"/>
          <w:color w:val="000000" w:themeColor="text1"/>
          <w:spacing w:val="0"/>
          <w:sz w:val="32"/>
          <w:szCs w:val="32"/>
          <w:lang w:val="en-US" w:eastAsia="zh-CN"/>
          <w14:textFill>
            <w14:solidFill>
              <w14:schemeClr w14:val="tx1"/>
            </w14:solidFill>
          </w14:textFill>
        </w:rPr>
        <w:t>2位同志转为正式党员，2名同志转为预备党员；</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80余</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名学生完成入团仪式，正式成为共青团员。扎实推进“青年大学习”主题团课，各团支部团员学习参与率100%。</w:t>
      </w:r>
    </w:p>
    <w:p w14:paraId="6B748CF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楷体_GB2312"/>
          <w:color w:val="000000" w:themeColor="text1"/>
          <w:lang w:eastAsia="zh-CN"/>
          <w14:textFill>
            <w14:solidFill>
              <w14:schemeClr w14:val="tx1"/>
            </w14:solidFill>
          </w14:textFill>
        </w:rPr>
      </w:pPr>
      <w:bookmarkStart w:id="21" w:name="_Toc18908"/>
      <w:r>
        <w:rPr>
          <w:rFonts w:hint="eastAsia"/>
          <w:color w:val="000000" w:themeColor="text1"/>
          <w14:textFill>
            <w14:solidFill>
              <w14:schemeClr w14:val="tx1"/>
            </w14:solidFill>
          </w14:textFill>
        </w:rPr>
        <w:t>2.2</w:t>
      </w:r>
      <w:r>
        <w:rPr>
          <w:rFonts w:hint="eastAsia"/>
          <w:color w:val="000000" w:themeColor="text1"/>
          <w:lang w:eastAsia="zh-CN"/>
          <w14:textFill>
            <w14:solidFill>
              <w14:schemeClr w14:val="tx1"/>
            </w14:solidFill>
          </w14:textFill>
        </w:rPr>
        <w:t>立德树人</w:t>
      </w:r>
      <w:bookmarkEnd w:id="21"/>
    </w:p>
    <w:p w14:paraId="1083F0F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cs="仿宋_GB2312"/>
          <w:color w:val="000000" w:themeColor="text1"/>
          <w:kern w:val="0"/>
          <w:sz w:val="32"/>
          <w:szCs w:val="32"/>
          <w:lang w:val="en-US" w:eastAsia="zh-CN" w:bidi="ar"/>
          <w14:textFill>
            <w14:solidFill>
              <w14:schemeClr w14:val="tx1"/>
            </w14:solidFill>
          </w14:textFill>
        </w:rPr>
        <w:t>学校</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全面贯彻党的教育方针，始终将立德树人作为根本任务，构建起立体化的“大思政”工作格局。德育体系以社会主义核心价值观为引领，</w:t>
      </w:r>
      <w:r>
        <w:rPr>
          <w:rFonts w:hint="eastAsia" w:ascii="仿宋_GB2312" w:hAnsi="宋体" w:cs="仿宋_GB2312"/>
          <w:color w:val="000000" w:themeColor="text1"/>
          <w:kern w:val="0"/>
          <w:sz w:val="32"/>
          <w:szCs w:val="32"/>
          <w:lang w:val="en-US" w:eastAsia="zh-CN" w:bidi="ar"/>
          <w14:textFill>
            <w14:solidFill>
              <w14:schemeClr w14:val="tx1"/>
            </w14:solidFill>
          </w14:textFill>
        </w:rPr>
        <w:t>深度</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融合职业精神培育，打造出“课程教学、实践养成、文化熏陶、管理服务”四位一体的</w:t>
      </w:r>
      <w:r>
        <w:rPr>
          <w:rFonts w:hint="eastAsia" w:ascii="仿宋_GB2312" w:hAnsi="宋体" w:cs="仿宋_GB2312"/>
          <w:color w:val="000000" w:themeColor="text1"/>
          <w:kern w:val="0"/>
          <w:sz w:val="32"/>
          <w:szCs w:val="32"/>
          <w:lang w:val="en-US" w:eastAsia="zh-CN" w:bidi="ar"/>
          <w14:textFill>
            <w14:solidFill>
              <w14:schemeClr w14:val="tx1"/>
            </w14:solidFill>
          </w14:textFill>
        </w:rPr>
        <w:t>协同</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育人模式。</w:t>
      </w:r>
    </w:p>
    <w:p w14:paraId="6F96CF80">
      <w:pPr>
        <w:pStyle w:val="10"/>
        <w:keepNext w:val="0"/>
        <w:keepLines w:val="0"/>
        <w:pageBreakBefore w:val="0"/>
        <w:widowControl w:val="0"/>
        <w:kinsoku/>
        <w:wordWrap/>
        <w:overflowPunct/>
        <w:topLinePunct w:val="0"/>
        <w:autoSpaceDE/>
        <w:autoSpaceDN/>
        <w:bidi w:val="0"/>
        <w:adjustRightInd/>
        <w:snapToGrid/>
        <w:spacing w:line="560" w:lineRule="exact"/>
        <w:ind w:firstLine="520" w:firstLineChars="200"/>
        <w:jc w:val="center"/>
        <w:textAlignment w:val="auto"/>
        <w:rPr>
          <w:rFonts w:hint="eastAsia"/>
          <w:color w:val="000000" w:themeColor="text1"/>
          <w:sz w:val="24"/>
          <w:szCs w:val="24"/>
          <w:lang w:eastAsia="zh-CN"/>
          <w14:textFill>
            <w14:solidFill>
              <w14:schemeClr w14:val="tx1"/>
            </w14:solidFill>
          </w14:textFill>
        </w:rPr>
      </w:pPr>
      <w:r>
        <w:rPr>
          <w:color w:val="000000" w:themeColor="text1"/>
          <w:spacing w:val="20"/>
          <w:sz w:val="22"/>
          <w:szCs w:val="22"/>
          <w:shd w:val="clear" w:fill="FFFFFF"/>
          <w:vertAlign w:val="baseline"/>
          <w14:textFill>
            <w14:solidFill>
              <w14:schemeClr w14:val="tx1"/>
            </w14:solidFill>
          </w14:textFill>
        </w:rPr>
        <w:drawing>
          <wp:anchor distT="0" distB="0" distL="114300" distR="114300" simplePos="0" relativeHeight="251669504" behindDoc="0" locked="0" layoutInCell="1" allowOverlap="1">
            <wp:simplePos x="0" y="0"/>
            <wp:positionH relativeFrom="column">
              <wp:posOffset>384175</wp:posOffset>
            </wp:positionH>
            <wp:positionV relativeFrom="paragraph">
              <wp:posOffset>66675</wp:posOffset>
            </wp:positionV>
            <wp:extent cx="4859655" cy="3239770"/>
            <wp:effectExtent l="0" t="0" r="17145" b="17780"/>
            <wp:wrapTopAndBottom/>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5"/>
                    <a:stretch>
                      <a:fillRect/>
                    </a:stretch>
                  </pic:blipFill>
                  <pic:spPr>
                    <a:xfrm>
                      <a:off x="0" y="0"/>
                      <a:ext cx="4859655" cy="3239770"/>
                    </a:xfrm>
                    <a:prstGeom prst="rect">
                      <a:avLst/>
                    </a:prstGeom>
                    <a:noFill/>
                    <a:ln w="9525">
                      <a:noFill/>
                    </a:ln>
                  </pic:spPr>
                </pic:pic>
              </a:graphicData>
            </a:graphic>
          </wp:anchor>
        </w:drawing>
      </w:r>
      <w:r>
        <w:rPr>
          <w:color w:val="000000" w:themeColor="text1"/>
          <w:sz w:val="24"/>
          <w:szCs w:val="24"/>
          <w14:textFill>
            <w14:solidFill>
              <w14:schemeClr w14:val="tx1"/>
            </w14:solidFill>
          </w14:textFill>
        </w:rPr>
        <w:t xml:space="preserve">图 </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SEQ 图 \* ARABIC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fldChar w:fldCharType="end"/>
      </w:r>
      <w:bookmarkStart w:id="22" w:name="_Toc11614"/>
      <w:bookmarkStart w:id="23" w:name="_Toc3110"/>
      <w:bookmarkStart w:id="24" w:name="_Toc17672"/>
      <w:bookmarkStart w:id="25" w:name="_Toc22568"/>
      <w:r>
        <w:rPr>
          <w:rFonts w:hint="eastAsia"/>
          <w:color w:val="000000" w:themeColor="text1"/>
          <w:sz w:val="24"/>
          <w:szCs w:val="24"/>
          <w:lang w:eastAsia="zh-CN"/>
          <w14:textFill>
            <w14:solidFill>
              <w14:schemeClr w14:val="tx1"/>
            </w14:solidFill>
          </w14:textFill>
        </w:rPr>
        <w:t>：</w:t>
      </w:r>
      <w:bookmarkEnd w:id="22"/>
      <w:bookmarkEnd w:id="23"/>
      <w:bookmarkEnd w:id="24"/>
      <w:r>
        <w:rPr>
          <w:rFonts w:hint="eastAsia"/>
          <w:color w:val="000000" w:themeColor="text1"/>
          <w:sz w:val="24"/>
          <w:szCs w:val="24"/>
          <w:lang w:eastAsia="zh-CN"/>
          <w14:textFill>
            <w14:solidFill>
              <w14:schemeClr w14:val="tx1"/>
            </w14:solidFill>
          </w14:textFill>
        </w:rPr>
        <w:t>传承雷锋精神，争做时代新人</w:t>
      </w:r>
      <w:bookmarkEnd w:id="25"/>
    </w:p>
    <w:p w14:paraId="75A7CA51">
      <w:pPr>
        <w:pStyle w:val="10"/>
        <w:bidi w:val="0"/>
        <w:rPr>
          <w:rFonts w:hint="default" w:ascii="仿宋_GB2312" w:hAnsi="宋体" w:cs="仿宋_GB2312"/>
          <w:color w:val="000000" w:themeColor="text1"/>
          <w:kern w:val="0"/>
          <w:sz w:val="32"/>
          <w:szCs w:val="32"/>
          <w:lang w:val="en-US" w:eastAsia="zh-CN" w:bidi="ar"/>
          <w14:textFill>
            <w14:solidFill>
              <w14:schemeClr w14:val="tx1"/>
            </w14:solidFill>
          </w14:textFill>
        </w:rPr>
      </w:pPr>
      <w:r>
        <w:rPr>
          <w:rFonts w:hint="eastAsia"/>
          <w:lang w:val="en-US" w:eastAsia="zh-CN"/>
        </w:rPr>
        <w:t>为深入贯彻习近平总书记关于弘扬雷锋精神的重要指示，引导师生践行社会主义核心价值观，3月，学校组织师生赴西安市鄠邑区天颐养老院开展“雷锋月·情暖养老院”主题实践活动。</w:t>
      </w:r>
    </w:p>
    <w:p w14:paraId="08C42B37">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cs="仿宋_GB2312"/>
          <w:color w:val="000000" w:themeColor="text1"/>
          <w:kern w:val="0"/>
          <w:sz w:val="32"/>
          <w:szCs w:val="32"/>
          <w:lang w:val="en-US" w:eastAsia="zh-CN" w:bidi="ar"/>
          <w14:textFill>
            <w14:solidFill>
              <w14:schemeClr w14:val="tx1"/>
            </w14:solidFill>
          </w14:textFill>
        </w:rPr>
        <w:t>思政教育举措：深入推进思政课改革创新，开发了系列“课程思政”示范课程，将思想政治教育有机融入专业教学全过程。常态化开展“书记校长讲思政课”、主题班团会、时事政策讲座。利用网络平台拓展思政教育空间，打造线上线下协同育人阵地。加强思政工作队伍建设，定期开展培训与研修。</w:t>
      </w:r>
    </w:p>
    <w:p w14:paraId="2E97281D">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综合素质培养成果：学生思想道德素质大幅提升，踊跃践行社会公德与职业道德。通过劳动教育、志愿服务、社团活动、技能竞赛等多重载体，学生的社会责任感、创新精神及实践能力显著增强。本年度，学生参与各级各类技能大赛斩获10项奖项，志愿者服务时长累计超过120小时，学生体质健康合格率达到75%，综合素质评价优良率稳步提升。</w:t>
      </w:r>
    </w:p>
    <w:p w14:paraId="30A354DF">
      <w:pPr>
        <w:pStyle w:val="10"/>
        <w:keepNext w:val="0"/>
        <w:keepLines w:val="0"/>
        <w:pageBreakBefore w:val="0"/>
        <w:widowControl w:val="0"/>
        <w:suppressLineNumbers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pPr>
      <w:r>
        <w:t xml:space="preserve">表 </w:t>
      </w:r>
      <w:r>
        <w:fldChar w:fldCharType="begin"/>
      </w:r>
      <w:r>
        <w:instrText xml:space="preserve"> SEQ 表 \* ARABIC </w:instrText>
      </w:r>
      <w:r>
        <w:fldChar w:fldCharType="separate"/>
      </w:r>
      <w:r>
        <w:t>3</w:t>
      </w:r>
      <w:r>
        <w:fldChar w:fldCharType="end"/>
      </w:r>
      <w:bookmarkStart w:id="26" w:name="_Toc15129"/>
      <w:r>
        <w:rPr>
          <w:rFonts w:hint="eastAsia"/>
          <w:lang w:eastAsia="zh-CN"/>
        </w:rPr>
        <w:t>：德育主题活动安排表</w:t>
      </w:r>
      <w:bookmarkEnd w:id="26"/>
    </w:p>
    <w:tbl>
      <w:tblPr>
        <w:tblStyle w:val="21"/>
        <w:tblW w:w="96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4"/>
        <w:gridCol w:w="766"/>
        <w:gridCol w:w="630"/>
        <w:gridCol w:w="765"/>
        <w:gridCol w:w="660"/>
        <w:gridCol w:w="1125"/>
        <w:gridCol w:w="1590"/>
        <w:gridCol w:w="2355"/>
        <w:gridCol w:w="571"/>
        <w:gridCol w:w="755"/>
      </w:tblGrid>
      <w:tr w14:paraId="3DE21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9661" w:type="dxa"/>
            <w:gridSpan w:val="10"/>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vAlign w:val="center"/>
          </w:tcPr>
          <w:p w14:paraId="61608D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FFFFFF"/>
                <w:sz w:val="18"/>
                <w:szCs w:val="18"/>
                <w:u w:val="none"/>
              </w:rPr>
            </w:pPr>
            <w:r>
              <w:rPr>
                <w:rFonts w:hint="eastAsia" w:ascii="宋体" w:hAnsi="宋体" w:eastAsia="宋体" w:cs="宋体"/>
                <w:b/>
                <w:bCs/>
                <w:i w:val="0"/>
                <w:iCs w:val="0"/>
                <w:color w:val="FFFFFF"/>
                <w:kern w:val="0"/>
                <w:sz w:val="22"/>
                <w:szCs w:val="22"/>
                <w:u w:val="none"/>
                <w:lang w:val="en-US" w:eastAsia="zh-CN" w:bidi="ar"/>
              </w:rPr>
              <w:t>2025年度西安医药科技职业学校德育主题活动安排表</w:t>
            </w:r>
          </w:p>
        </w:tc>
      </w:tr>
      <w:tr w14:paraId="6EE6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444" w:type="dxa"/>
            <w:vMerge w:val="restart"/>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6AD8E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周次</w:t>
            </w:r>
          </w:p>
        </w:tc>
        <w:tc>
          <w:tcPr>
            <w:tcW w:w="766" w:type="dxa"/>
            <w:vMerge w:val="restart"/>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F5DCB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时间</w:t>
            </w:r>
          </w:p>
        </w:tc>
        <w:tc>
          <w:tcPr>
            <w:tcW w:w="4770" w:type="dxa"/>
            <w:gridSpan w:val="5"/>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DF283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活动目标及内容</w:t>
            </w:r>
          </w:p>
        </w:tc>
        <w:tc>
          <w:tcPr>
            <w:tcW w:w="2355"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6FC657D">
            <w:pPr>
              <w:snapToGrid w:val="0"/>
              <w:ind w:left="0" w:leftChars="0" w:right="0" w:rightChars="0" w:firstLine="0" w:firstLineChars="0"/>
              <w:jc w:val="center"/>
              <w:rPr>
                <w:rFonts w:hint="eastAsia" w:ascii="宋体" w:hAnsi="宋体" w:eastAsia="宋体" w:cs="宋体"/>
                <w:b w:val="0"/>
                <w:bCs/>
                <w:i w:val="0"/>
                <w:iCs w:val="0"/>
                <w:color w:val="000000"/>
                <w:sz w:val="18"/>
                <w:szCs w:val="18"/>
                <w:u w:val="none"/>
              </w:rPr>
            </w:pPr>
          </w:p>
        </w:tc>
        <w:tc>
          <w:tcPr>
            <w:tcW w:w="571"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314577B">
            <w:pPr>
              <w:snapToGrid w:val="0"/>
              <w:ind w:left="0" w:leftChars="0" w:right="0" w:rightChars="0" w:firstLine="0" w:firstLineChars="0"/>
              <w:jc w:val="center"/>
              <w:rPr>
                <w:rFonts w:hint="eastAsia" w:ascii="宋体" w:hAnsi="宋体" w:eastAsia="宋体" w:cs="宋体"/>
                <w:b w:val="0"/>
                <w:bCs/>
                <w:i w:val="0"/>
                <w:iCs w:val="0"/>
                <w:color w:val="000000"/>
                <w:sz w:val="18"/>
                <w:szCs w:val="18"/>
                <w:u w:val="none"/>
              </w:rPr>
            </w:pPr>
          </w:p>
        </w:tc>
        <w:tc>
          <w:tcPr>
            <w:tcW w:w="755" w:type="dxa"/>
            <w:vMerge w:val="restart"/>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E4162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承办部门</w:t>
            </w:r>
          </w:p>
        </w:tc>
      </w:tr>
      <w:tr w14:paraId="25EBF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444"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AEC929E">
            <w:pPr>
              <w:snapToGrid w:val="0"/>
              <w:ind w:left="0" w:leftChars="0" w:right="0" w:rightChars="0" w:firstLine="0" w:firstLineChars="0"/>
              <w:jc w:val="center"/>
              <w:rPr>
                <w:rFonts w:hint="eastAsia" w:ascii="宋体" w:hAnsi="宋体" w:eastAsia="宋体" w:cs="宋体"/>
                <w:b w:val="0"/>
                <w:bCs/>
                <w:i w:val="0"/>
                <w:iCs w:val="0"/>
                <w:color w:val="000000"/>
                <w:sz w:val="18"/>
                <w:szCs w:val="18"/>
                <w:u w:val="none"/>
              </w:rPr>
            </w:pPr>
          </w:p>
        </w:tc>
        <w:tc>
          <w:tcPr>
            <w:tcW w:w="766"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0497737">
            <w:pPr>
              <w:snapToGrid w:val="0"/>
              <w:ind w:left="0" w:leftChars="0" w:right="0" w:rightChars="0" w:firstLine="0" w:firstLineChars="0"/>
              <w:jc w:val="center"/>
              <w:rPr>
                <w:rFonts w:hint="eastAsia" w:ascii="宋体" w:hAnsi="宋体" w:eastAsia="宋体" w:cs="宋体"/>
                <w:b w:val="0"/>
                <w:bCs/>
                <w:i w:val="0"/>
                <w:iCs w:val="0"/>
                <w:color w:val="000000"/>
                <w:sz w:val="18"/>
                <w:szCs w:val="18"/>
                <w:u w:val="none"/>
              </w:rPr>
            </w:pPr>
          </w:p>
        </w:tc>
        <w:tc>
          <w:tcPr>
            <w:tcW w:w="63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210D6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德育活动</w:t>
            </w:r>
          </w:p>
        </w:tc>
        <w:tc>
          <w:tcPr>
            <w:tcW w:w="76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CF2F1E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主题教育月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F404F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活动内容</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0171F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活动主题</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514C2F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活动目标</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F140B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具体安排</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B5FFC0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备注</w:t>
            </w:r>
          </w:p>
        </w:tc>
        <w:tc>
          <w:tcPr>
            <w:tcW w:w="75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E4C6F2F">
            <w:pPr>
              <w:snapToGrid w:val="0"/>
              <w:ind w:left="0" w:leftChars="0" w:right="0" w:rightChars="0" w:firstLine="0" w:firstLineChars="0"/>
              <w:jc w:val="center"/>
              <w:rPr>
                <w:rFonts w:hint="eastAsia" w:ascii="宋体" w:hAnsi="宋体" w:eastAsia="宋体" w:cs="宋体"/>
                <w:b w:val="0"/>
                <w:bCs/>
                <w:i w:val="0"/>
                <w:iCs w:val="0"/>
                <w:color w:val="000000"/>
                <w:sz w:val="18"/>
                <w:szCs w:val="18"/>
                <w:u w:val="none"/>
              </w:rPr>
            </w:pPr>
          </w:p>
        </w:tc>
      </w:tr>
      <w:tr w14:paraId="68738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17335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40CFC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2.17-2.21</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6C69B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vertAlign w:val="baseline"/>
                <w:lang w:val="en-US" w:eastAsia="zh-CN" w:bidi="ar"/>
              </w:rPr>
              <w:t>首届校园广场舞大赛</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442DCA7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习惯养成教育月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C6F4F7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开学第一课活动</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7449F3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蛇年千里启新程</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新学期、新目标、新起点</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C86F1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帮助学生尽快收心，不忘初心、明确上学目的。同时巩固上学期各项管理成果，筑牢安全基础，调整心态，积极迎接新的挑战</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FEC793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提前安排学生观看西安家长课堂《家校共育、迎接新学期》2、组织全体老师观看《育繁华盛放、让幸福生长》；组织学生观看《成长做最好的自己》3、组织全校师生召开开学第一课大会4、各班召开开学第一课主题班会5、进行一次开学安全排查</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47FFBB8">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796C04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6BDA7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83DF78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BF020D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2.24-2.28</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631236F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6ECCB7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2F6C9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行为习惯教育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67680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培养好习惯、</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成就好人生</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F1D017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回顾上学期文明养成要求，突出重点持续进行文明习惯动态教育，养成好习惯，增强自律性</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11790A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1.统一宿舍内务标准2学习学校规章制度3.仪容仪表检查4.加强校园巡查</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5C4BA9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CACF1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085C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7A83C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D3980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3.3-3.7</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D605FF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77E505C1">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B7BA4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学习雷锋精神</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3ED1E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雷锋精神永流传</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争做新时代好青年</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9DB4F6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了解雷锋事迹，弘扬雷锋精神，开展志愿服务活动践行雷锋精神。妇女节感恩母亲，祝福。尊重女性。</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970964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1.开展学习雷锋精神主题班会，开展学雷锋活动、志愿服务活动2、感恩母爱、致敬巾帼庆祝三八妇女节。</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D1CA5C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3.5雷锋日</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“三八”妇女节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913B2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团委</w:t>
            </w:r>
          </w:p>
        </w:tc>
      </w:tr>
      <w:tr w14:paraId="5009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9E6BF9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4</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C1052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3.10-3.14</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53FFBA1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3294441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AEBE41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绿色环保教育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D1229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绿水青山就是金山银山</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6C5DE2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3.12植树节活动，结合绿水青山就是金山银山提出20周年，倡导学生爱护环境，用实际行动守护家园</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2484AA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1.团委组织学生代表开展3.12植树节活动2、召开绿水青山就是金山银山主题班会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8426F5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3.12植树节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C2C2F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团委</w:t>
            </w:r>
          </w:p>
        </w:tc>
      </w:tr>
      <w:tr w14:paraId="41B5A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9B5CB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5</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39289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3.17-3.21</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25D88F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06D48065">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F19A2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三节三爱教育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9285F1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 xml:space="preserve">三节“节粮、节水、节电”三爱“爱学习、爱劳动、爱祖国” </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40C3E3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3月22日世界节水日，认识节约用水、用电的重要性，从自身的一点一滴做起，要注意节约用水、用电，养成良好的节水、节电习惯。引导学生主动学习，树立正确的价值观，提升爱国情怀。</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02FEA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1.倡导光盘行动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2、加强宿舍用电检查3、合理用水、节约用水4、召开三节三爱主题班会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A05EAA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3.22世界</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节水日</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6A065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4520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17F5D7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6</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8320D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3.24-3.28</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3977D7D">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14C30911">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FBCC05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全国中小学安全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宣传教育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842AAF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全国中小学安全宣传教育日</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7CC20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以“安全教育日”为契机，进一步增强同学们的安全防范意识，掌握避险技能，提高应对突发事件能力，遏制和减少各类校园安全事故的发生。</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6FCEB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1.召开全国中小学安全宣传教育主题班会2、学生矛盾排查3、宿舍安全检查4、特异体质学生跟踪5、安全逃生演练</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86C7C2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F61829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安卫科</w:t>
            </w:r>
          </w:p>
        </w:tc>
      </w:tr>
      <w:tr w14:paraId="35B4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0EA4E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7</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2058D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3.31-4.3</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1EB892C">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阳光体育--第十三届校园男子篮球赛</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03AC80DD">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弘扬民族精神与劳动教育月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A7AC5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传统文化宣传实践</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E73B3F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“走进清明，</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感受传统”</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C7A2A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引导学生了解中华民俗、风情和传统美德。继承先烈遗志，发扬革命精神，珍惜现在的美好生活。</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E39E30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1.组织团员代表、学生代表烈士陵园扫墓2、召开主题班会3、与时代同行，倡导清明节文明祭奠</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B9A599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4.4清明节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08D688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团委</w:t>
            </w:r>
          </w:p>
        </w:tc>
      </w:tr>
      <w:tr w14:paraId="0722C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A8481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8</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2330D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4.7-4.11</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97B72C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BD63D68">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70A2C8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集体主义教育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4C4F0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我与集体共成长</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17827D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帮助学生树立正确的价值观，认识到个人与集体的关系，共同为班级建设，班级和谐，为班级进步贡献自己的力量</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F21AA8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1.召开我与集体共成长主题班会2、召开宿舍学生代表、宿舍长座谈会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844EA15">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AD454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7263E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C6391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9</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830F9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4.14-4.18</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50B01B4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C5FD9BD">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CE11D9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践行社会主义核心价值观</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0E5EBE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与时俱进、</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爱党、爱国</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F59D9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通过活动使学生深刻领悟社会主义核心价值观的内涵，懂得价值观的重要性，初步树立社会主义核心价值观。学习贯彻党的二十届三中全会精神。</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441140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1.召开学习党的二十届三中全会精神班团会2、出一期黑板报、手抄报3、广播站播放会议内容，加深学习</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58F2D11">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3BA7E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团委</w:t>
            </w:r>
          </w:p>
        </w:tc>
      </w:tr>
      <w:tr w14:paraId="5280E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7544A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10</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F6A05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4.21-4.25</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127A851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4235661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A30841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读书引导教育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C53C8E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与书有约</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D1CAC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通过开展世界读书日活动，推进全民阅读，进一步推进学校书香校园建设，引导学生爱读书、读好书、善读书的良好习惯。</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409CA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1.充分发挥学校图书室、阅览室功能2、各班开展读书活动，规定读书课3、布置教室图书角，读书宣传标语</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E10FE8A">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0B5BA0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39248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6A7102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11</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D297F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4.27-4.30</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0EBD15C">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417CF5E5">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9A4DF8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劳动教育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74214D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劳动最光荣</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C83C34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通过开展劳动教育、劳动实践，倡导学生在日常生活中，从小事做起，热爱劳动，尊重劳动者或者他人劳动成果。</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B19E6C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1.组织全校大扫除2、开展劳动教育主题班会3、分享劳动模范故事或者观看劳模纪录片</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A77B63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57B6CC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2BC74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C882B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12</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7888F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5.6-5.9</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155B6DC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技能成才强国有我－弘扬中华传统文化－红色歌曲合唱比赛</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3A21B78">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身心健康与安全教育月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63461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职业教育活动</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8B228A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一技在手</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一生无忧</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9089FE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通过开展职教活动，展示职教学生风采，提升社会认知，促进校区合作、激发学生成长</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1883FA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1.按照不同专业组织职教活动展示2、专业类社团组织开放日</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712531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ADBCB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教务处</w:t>
            </w:r>
          </w:p>
        </w:tc>
      </w:tr>
      <w:tr w14:paraId="26F8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566890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13</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E54653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5.12-5.16</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84453B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62A54DE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7661CC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防灾减灾</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000C81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防灾减灾，</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安全常伴</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DB0770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通过开展防灾减灾宣传活动，以及防震疏散演练，点赞中国救援速度，宣传国家强大给人民带来的安全感，进一步增强全校师生的安全意识和应对突发事件，自救互救，疏散救援能力</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BA7514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1.开展防灾减灾宣传2、组织进行防震疏散演练3、观看西藏日喀则的救援视频，了解中国救援速度。</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D15DF3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ED7BA7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69B7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F65A8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14</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5CA48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5.19-5.23</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51925A9E">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28D05A1">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29202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心理健康教育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8BAF5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阳光心理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健康人生</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F009AC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通过开展心理健康讲座，心理健康主题班会，引导和加强全校师生对心理健康的关注度，了解和帮助学生走出困境，畅通倾诉渠道，学会心理调适，促进青少年身心健康成长。</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767182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1.组织心理讲座2、开展心理健康主题班会3、发挥心理咨询室功能4、完善心理健康学生跟踪信息</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5B078B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5.25心理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健康日</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9C595C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75F05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1E20B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15</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3C2C2D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5.26-5.30</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B94FFC8">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3974730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2F11EB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法治教育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FD3126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知法守法</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与法同行</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249549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通过开展法治教育活动，普法宣传活动，增强学生法治观念，增强法律意识。</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76500B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1.开展法治教育主题班会2、进行普法宣传3、进行矛盾排查</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117C5A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74A121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76405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A473F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16</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5EDDA7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6.3-6.6</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0E35A6F3">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实习学生欢送会</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3D07724">
            <w:pPr>
              <w:keepNext w:val="0"/>
              <w:keepLines w:val="0"/>
              <w:widowControl/>
              <w:suppressLineNumbers w:val="0"/>
              <w:snapToGrid w:val="0"/>
              <w:ind w:left="0" w:leftChars="0" w:right="0" w:rightChars="0" w:firstLine="0" w:firstLineChars="0"/>
              <w:jc w:val="left"/>
              <w:textAlignment w:val="top"/>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励志教育与自我评价月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477AFD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爱护眼睛引导教育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0A3BB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健康视力</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光明未来</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0DEE9D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通过开展爱眼主题班会，进一步增强学生爱眼睛护眼睛意识，帮助学生养成科学用眼的好习惯。</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7ACD4C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1.召开爱眼主题班会2、坚持做眼保健操3、合理使用手机，规范手机管理</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6FD3B7E">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0AF5C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4C8E3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950AA1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17</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A849D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6.9-6.13</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E05999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994FB5C">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1B123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感恩教育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267A79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 xml:space="preserve">感恩父母 </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感恩老师</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C0938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通过开展感恩教育活动，健全学生人格，提升道德素养，改善人际关系，激发学习动力，增强社会适应能力</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A9259F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1.召开感恩教育主题班会2、制作手工、卡片、短视频感恩父母，感恩老师3、班级组织感恩主题班级活动</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2A5422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8DB78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8342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16A4A1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18</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ADB6E2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6.16-6.20</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2F6E83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14EAF9A6">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49B274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励志教育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955BDE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少年不负凌云志</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励志逐梦正当时</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F9A966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通过开展励志教育，坚定学生求学信念，树立正确的奋斗目标，做好期末复习工作</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AD995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1.开展励志教育主题班会，讲解职业教育大好局面2、召开期末考试动员会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7BF6A3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BD933C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664A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1DC79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19</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ABEC42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6.23-6.27</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059A726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32B7FF1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F1E2B4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期末考试动员</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B03B6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端正考风</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严肃考纪</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EE4968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通过开展期末考试动员会，端正学生考试态度，严肃考风考纪，为本学画上圆满句号。优异成绩稳定学生思想，坚定家长信念，提高稳定率，降低流失率。</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C6917A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1.召开期末考试动员会，考风考纪学习会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F2F223D">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FDD70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3A96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66081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20</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B29E2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9.1-9.5</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48E488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6421042C">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B6F6E7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开学第一课</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94EC45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为未来、</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不负青春</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4136E85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不忘初心、明确上学目的。树立学习目标，灌输学历重要性，制定新学期新任务，为新阶段学习奠定基础</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16E1A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1.班级学生见面会，自我介绍2</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.临时选拔班干部3.学习校校纪校规</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D04C66A">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2CE87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8FFC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FBC4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21</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B40490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9.8-9.12</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ACC9ABD">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20993F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923CEB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行为习惯教育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A3119F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养好习惯，</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全面发展</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54ADB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巩固军训成果，回顾上学期文明养成要求，突出重点持续进行文明习惯动态教育，养成好习惯</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4BEE9E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1.统一宿舍内务标准2学习学校规章制度</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3.召开开学第一课</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554866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9.10教师节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1E92C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14F44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1F08A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22</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EAD96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9.15-9.19</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0A9B079C">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1235A9C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D1C800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庆祝教师节、</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中秋节活动</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72606F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月满中秋、</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师恩难忘</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330DA8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庆祝教师节、中秋节活动，学会感恩教师、了解中华民族传统文化。营造和谐欢乐班级氛围，稳定学生思想</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186664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1.检查仪容仪表2.召开2024年秋季开学第一课</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3.召开收心工作主题班会4.庆祝第40个教师节活动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5.筹备中秋节茶话会6.中秋放假安全班会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8EA673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9.18事变</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51F3FA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120ED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E00A48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23</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B8F33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9.22-9.26</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111945DC">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3CA9E7B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33FCA1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革命历史主题</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06A9DB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勿忘国耻、</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吾辈自强</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208821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了解九一八事变，回望抗战峥嵘岁月，厚植爱国主义</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E78340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1.九一八主题升旗仪式，</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国旗下讲话2.学习九一八事变历史</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A6B09F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E9BC9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2C6C8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96EDA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24</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2BD56B6">
            <w:pPr>
              <w:snapToGrid w:val="0"/>
              <w:ind w:left="0" w:leftChars="0" w:right="0" w:rightChars="0" w:firstLine="0" w:firstLineChars="0"/>
              <w:jc w:val="center"/>
              <w:rPr>
                <w:rFonts w:hint="eastAsia" w:ascii="宋体" w:hAnsi="宋体" w:eastAsia="宋体" w:cs="宋体"/>
                <w:b w:val="0"/>
                <w:i w:val="0"/>
                <w:iCs w:val="0"/>
                <w:color w:val="000000"/>
                <w:sz w:val="18"/>
                <w:szCs w:val="18"/>
                <w:u w:val="none"/>
              </w:rPr>
            </w:pP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42FFFCB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037F7D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F0074B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国庆节主</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题活动</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BB21BE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庆祝中华人民共和国成</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75周年宣传</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教育活动</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79B6CD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为庆祝中华人民共和国成立75周年，开展“七十五载春华秋实，</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砥砺前行共绘新篇”系列活动，庆祝华诞，</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表达对祖国的美好祝愿</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F4994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1.庆国庆黑板报、手抄报2.我和我的祖国诗歌朗诵会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3.学党史，参观研学红色革命教育基地4.广播站国庆节专题周</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FCF31B5">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B1ADF4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11492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637066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25</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21576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9.29-9.30</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597BBDA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67A3C862">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02935A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安全教育主题</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BD5712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国庆节长假</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安全教育</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F27FD5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强调往返路途安全，交通安全、食品安全，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强调防溺水重要性，减少学生不安全事件发生</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CF8309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1.国庆节假期安全教育主题班会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2.完善放假离校手续，密切家校联系</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249CFA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10.1国庆节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073B60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6820E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F0DD3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26</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BD0F8B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10.9-10.11</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27822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庆国庆健康运动－篮球赛</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、羽毛球赛、乒乓球赛</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D8B7C5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弘扬民族精神与劳动教育月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6F702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弘扬民族精神</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CB4EF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尊老敬老、</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传承美德</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AB1328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在重阳节，组织学生进社区、</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养老院，慰问老人，培养学生敬老，</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尊老，爱老优良品质</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08427C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1.校团委组织学生进社区、养老院慰问老人</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2.组织学生在重阳节当天和爷爷、奶奶视频通话一次</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CB3DAF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4E80B0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0E009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9D27B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27</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C1134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10.13-10.17</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6AF2981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68F3EC57">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AF1AF1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勤俭节约教育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A45830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珍惜粮食、</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不负时光</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A6C984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10月16日世界粮食日，开展“珍惜粮食、不负时光”</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主题活动，增强学生珍惜粮食的意识，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培养厉行节约，反对浪费的习惯</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046FC6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1.开展节约粮食主题班会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2.实施光盘行动3.组织节约粮食知识竞赛，普及节约知识</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E614FE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83668A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632AD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B12E35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28</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5231CD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10.20-10.24</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03AC1C4">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1A9BE82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335ED6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心理健康教育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BF978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阳光心理、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快乐成长</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685B9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通过组织心理讲座、观看心理视频，</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学习心理讲座PPT让学生了解拥有健康心理的重要性</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DD2771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1.心理健康讲座2.召开心理健康主题班会，宣讲心理健康知识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3.学生心理健康测评4.对重点学生进行一对一谈话疏导</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0A6803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B6AACD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0E280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19A57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29</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17A04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10.27-10.31</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11089028">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05F9601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B26CB6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劳动教育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277F52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感劳动之美、</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享收获之乐</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BE654D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积极动员学生参与班级、校级劳动课，</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培养学生动手能力，感受劳动带来的快乐，</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创造以劳动为美的浓厚氛围</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1693C3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1.召开劳动教育主题班会2.组织学生实施具体劳动实践活动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3.观看劳动模范纪录片</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581318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重阳节</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25FBCE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62EDA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4E22A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30</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C19CDF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11.3-11.7</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06C0A8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弘扬中华传统文化－中国古典诗词朗诵比赛</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73B663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安全与文明礼仪教育月</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8C038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消防安全教育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570ECF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消防安全、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人人有责</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9BBB4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119消防安全宣传日，组织开展消防安全主题教育活动，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增强消防意识，提高防范观念</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5CE2C7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1.组织开展疏散演练2.召开消防安全预防主题班会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3.举行消防知识竞赛4.组织召开消防主题讲座</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7950EB2">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E08A3E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5491B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93B434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31</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A26AC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11.10-11.14</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99908A0">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724B73C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0AE5B3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文明礼貌、</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仪容仪表引导</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4A0388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以礼待人、</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行为得体</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AF6634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对学生进行文明礼貌教育，强化学生文明礼貌意识。</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引导学生树立正确的审美观，衣着得体，行为得当</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4C94FC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1.组织学习中职学生行为规范2.评选文明标兵活动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3.仪容仪表检查，衣着衣品引导</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8E556A6">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5322AB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0C7E8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D21FB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32</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0B0EF8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11.17-11.21</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3183CAAA">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63BF4E7D">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CEBA36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网络安全教育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87F1FB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向“网”的</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美好生活</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3A717C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开展“文明上网”行动，组织网络安全知识交流会，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告诫学生网络不是法外之地，合理正确使用网络</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637689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1.开展文明上网主题班会2.组织网络安全知识学习会、知识竞赛活动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3.加强手机管理</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47A2F03">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F57FE4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46A3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52E75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33</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561296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11.24-11.28</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268BD99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24C22E76">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9A0F20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感恩教育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10CB7A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知恩于心、</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感恩于行</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E29D1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通过活动让每一位学生做感恩之人，</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学会感恩国家、家人、学校，感恩老师，</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了解自己的成长经历</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0818DE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1.开展感恩教育主题班会2.组织撰写感恩信活动，表达对父母、老师的感恩之情3.举办感恩故事分享会</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4739B3B">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E70A12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23125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CF9EF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34</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1D4E84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12.1-12.5</w:t>
            </w:r>
          </w:p>
        </w:tc>
        <w:tc>
          <w:tcPr>
            <w:tcW w:w="63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1367016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健康运动，全民运动、趣味活动</w:t>
            </w:r>
          </w:p>
        </w:tc>
        <w:tc>
          <w:tcPr>
            <w:tcW w:w="765"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BE75DB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法治与爱国主义教育</w:t>
            </w: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04072F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普法宣传教育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40E607C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弘扬宪法精神、</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共建法治校园</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BE9AD0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开展好“12·4”国家宪法日主题教育活动，进一步弘扬宪法精神，</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加强宪法宣传，知法懂法护法守法，提高法治观念</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899B40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1.开展学宪法活动2.组织开展法制讲座</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3.宪法宣传黑板报、手抄报</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FF958B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 xml:space="preserve">12.4 宪法宣传日   </w:t>
            </w: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75B12D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4F07A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BB9948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35</w:t>
            </w:r>
          </w:p>
        </w:tc>
        <w:tc>
          <w:tcPr>
            <w:tcW w:w="76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432DC2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12.8-12.12</w:t>
            </w:r>
          </w:p>
        </w:tc>
        <w:tc>
          <w:tcPr>
            <w:tcW w:w="63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textDirection w:val="tbRlV"/>
            <w:vAlign w:val="center"/>
          </w:tcPr>
          <w:p w14:paraId="7E7C29E9">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textDirection w:val="tbRlV"/>
            <w:vAlign w:val="center"/>
          </w:tcPr>
          <w:p w14:paraId="50993A6E">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96032E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爱国主义教育</w:t>
            </w:r>
          </w:p>
        </w:tc>
        <w:tc>
          <w:tcPr>
            <w:tcW w:w="112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D43BA6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以国家之名，</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祭民族之魂</w:t>
            </w:r>
          </w:p>
        </w:tc>
        <w:tc>
          <w:tcPr>
            <w:tcW w:w="159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3C58A75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围绕12.9运动、国家公祭日开展系列活动，</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观看历史纪录片、分享红色故事，教育和鼓励</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学生牢记历史，勿忘国耻，缅怀先烈，奋发图强</w:t>
            </w:r>
          </w:p>
        </w:tc>
        <w:tc>
          <w:tcPr>
            <w:tcW w:w="2355"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97425D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1.12.9举行升旗仪式2.国家公祭日举行默哀仪式3.学习党史</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4.观看爱国主义教育纪录片、电影</w:t>
            </w:r>
          </w:p>
        </w:tc>
        <w:tc>
          <w:tcPr>
            <w:tcW w:w="57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15A5EEAF">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5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C821C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r w14:paraId="7A83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44" w:type="dxa"/>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EEF5FA" w:themeFill="accent1" w:themeFillTint="19"/>
            <w:vAlign w:val="center"/>
          </w:tcPr>
          <w:p w14:paraId="0AA35D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bCs/>
                <w:i w:val="0"/>
                <w:iCs w:val="0"/>
                <w:color w:val="000000"/>
                <w:sz w:val="18"/>
                <w:szCs w:val="18"/>
                <w:u w:val="none"/>
              </w:rPr>
            </w:pPr>
            <w:r>
              <w:rPr>
                <w:rFonts w:hint="eastAsia" w:ascii="宋体" w:hAnsi="宋体" w:eastAsia="宋体" w:cs="宋体"/>
                <w:b w:val="0"/>
                <w:bCs/>
                <w:i w:val="0"/>
                <w:iCs w:val="0"/>
                <w:color w:val="000000"/>
                <w:kern w:val="0"/>
                <w:sz w:val="18"/>
                <w:szCs w:val="18"/>
                <w:u w:val="none"/>
                <w:lang w:val="en-US" w:eastAsia="zh-CN" w:bidi="ar"/>
              </w:rPr>
              <w:t>36</w:t>
            </w:r>
          </w:p>
        </w:tc>
        <w:tc>
          <w:tcPr>
            <w:tcW w:w="766"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0E79933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12.15-12.19</w:t>
            </w:r>
          </w:p>
        </w:tc>
        <w:tc>
          <w:tcPr>
            <w:tcW w:w="630" w:type="dxa"/>
            <w:vMerge w:val="continue"/>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textDirection w:val="tbRlV"/>
            <w:vAlign w:val="center"/>
          </w:tcPr>
          <w:p w14:paraId="677B2088">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765" w:type="dxa"/>
            <w:vMerge w:val="continue"/>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textDirection w:val="tbRlV"/>
            <w:vAlign w:val="center"/>
          </w:tcPr>
          <w:p w14:paraId="03A83065">
            <w:pPr>
              <w:snapToGrid w:val="0"/>
              <w:ind w:left="0" w:leftChars="0" w:right="0" w:rightChars="0" w:firstLine="0" w:firstLineChars="0"/>
              <w:jc w:val="left"/>
              <w:rPr>
                <w:rFonts w:hint="eastAsia" w:ascii="宋体" w:hAnsi="宋体" w:eastAsia="宋体" w:cs="宋体"/>
                <w:b w:val="0"/>
                <w:i w:val="0"/>
                <w:iCs w:val="0"/>
                <w:color w:val="000000"/>
                <w:sz w:val="18"/>
                <w:szCs w:val="18"/>
                <w:u w:val="none"/>
              </w:rPr>
            </w:pPr>
          </w:p>
        </w:tc>
        <w:tc>
          <w:tcPr>
            <w:tcW w:w="660"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4E66A76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安全教育</w:t>
            </w:r>
          </w:p>
        </w:tc>
        <w:tc>
          <w:tcPr>
            <w:tcW w:w="1125"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351A979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预防校园欺凌</w:t>
            </w:r>
          </w:p>
        </w:tc>
        <w:tc>
          <w:tcPr>
            <w:tcW w:w="1590"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3E94CF5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学期末，排查学生矛盾，化解学生矛盾，</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安全平稳度过期末</w:t>
            </w:r>
          </w:p>
        </w:tc>
        <w:tc>
          <w:tcPr>
            <w:tcW w:w="2355"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vAlign w:val="center"/>
          </w:tcPr>
          <w:p w14:paraId="1C6C862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1排查学生矛盾、化解学生矛盾2.开展预防校园欺凌主题班会</w:t>
            </w:r>
            <w:r>
              <w:rPr>
                <w:rFonts w:hint="eastAsia" w:ascii="宋体" w:hAnsi="宋体" w:eastAsia="宋体" w:cs="宋体"/>
                <w:b w:val="0"/>
                <w:i w:val="0"/>
                <w:iCs w:val="0"/>
                <w:color w:val="000000"/>
                <w:kern w:val="0"/>
                <w:sz w:val="18"/>
                <w:szCs w:val="18"/>
                <w:u w:val="none"/>
                <w:lang w:val="en-US" w:eastAsia="zh-CN" w:bidi="ar"/>
              </w:rPr>
              <w:br w:type="textWrapping"/>
            </w:r>
            <w:r>
              <w:rPr>
                <w:rFonts w:hint="eastAsia" w:ascii="宋体" w:hAnsi="宋体" w:eastAsia="宋体" w:cs="宋体"/>
                <w:b w:val="0"/>
                <w:i w:val="0"/>
                <w:iCs w:val="0"/>
                <w:color w:val="000000"/>
                <w:kern w:val="0"/>
                <w:sz w:val="18"/>
                <w:szCs w:val="18"/>
                <w:u w:val="none"/>
                <w:lang w:val="en-US" w:eastAsia="zh-CN" w:bidi="ar"/>
              </w:rPr>
              <w:t>3.预防校园欺凌办法主题活动</w:t>
            </w:r>
          </w:p>
        </w:tc>
        <w:tc>
          <w:tcPr>
            <w:tcW w:w="571"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3C6ED43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12.13国家公祭日</w:t>
            </w:r>
          </w:p>
        </w:tc>
        <w:tc>
          <w:tcPr>
            <w:tcW w:w="755"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FFFFFF"/>
            <w:vAlign w:val="center"/>
          </w:tcPr>
          <w:p w14:paraId="5289E7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德育处</w:t>
            </w:r>
          </w:p>
        </w:tc>
      </w:tr>
    </w:tbl>
    <w:p w14:paraId="189C1981">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14:textFill>
            <w14:solidFill>
              <w14:schemeClr w14:val="tx1"/>
            </w14:solidFill>
          </w14:textFill>
        </w:rPr>
      </w:pPr>
      <w:bookmarkStart w:id="27" w:name="_Toc21952"/>
      <w:r>
        <w:rPr>
          <w:color w:val="000000" w:themeColor="text1"/>
          <w14:textFill>
            <w14:solidFill>
              <w14:schemeClr w14:val="tx1"/>
            </w14:solidFill>
          </w14:textFill>
        </w:rPr>
        <w:t>2</w:t>
      </w:r>
      <w:r>
        <w:rPr>
          <w:rFonts w:hint="eastAsia"/>
          <w:color w:val="000000" w:themeColor="text1"/>
          <w14:textFill>
            <w14:solidFill>
              <w14:schemeClr w14:val="tx1"/>
            </w14:solidFill>
          </w14:textFill>
        </w:rPr>
        <w:t>.3专业建设</w:t>
      </w:r>
      <w:bookmarkEnd w:id="27"/>
    </w:p>
    <w:p w14:paraId="5722DBE7">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bookmarkStart w:id="28" w:name="_Toc3771"/>
      <w:r>
        <w:rPr>
          <w:rFonts w:hint="default" w:ascii="仿宋_GB2312" w:hAnsi="仿宋_GB2312" w:eastAsia="仿宋_GB2312" w:cs="仿宋_GB2312"/>
          <w:sz w:val="32"/>
          <w:szCs w:val="32"/>
          <w:lang w:val="en-US" w:eastAsia="zh-CN"/>
        </w:rPr>
        <w:t>学校紧跟产业前沿，</w:t>
      </w:r>
      <w:r>
        <w:rPr>
          <w:rFonts w:hint="eastAsia" w:ascii="仿宋_GB2312" w:hAnsi="仿宋_GB2312" w:eastAsia="仿宋_GB2312" w:cs="仿宋_GB2312"/>
          <w:sz w:val="32"/>
          <w:szCs w:val="32"/>
          <w:lang w:val="en-US" w:eastAsia="zh-CN"/>
        </w:rPr>
        <w:t>响应</w:t>
      </w:r>
      <w:r>
        <w:rPr>
          <w:rFonts w:hint="default" w:ascii="仿宋_GB2312" w:hAnsi="仿宋_GB2312" w:eastAsia="仿宋_GB2312" w:cs="仿宋_GB2312"/>
          <w:sz w:val="32"/>
          <w:szCs w:val="32"/>
          <w:lang w:val="en-US" w:eastAsia="zh-CN"/>
        </w:rPr>
        <w:t>国家大健康战略和地区经济社会发展需求，优化</w:t>
      </w:r>
      <w:r>
        <w:rPr>
          <w:rFonts w:hint="eastAsia" w:ascii="仿宋_GB2312" w:hAnsi="仿宋_GB2312" w:eastAsia="仿宋_GB2312" w:cs="仿宋_GB2312"/>
          <w:sz w:val="32"/>
          <w:szCs w:val="32"/>
          <w:lang w:val="en-US" w:eastAsia="zh-CN"/>
        </w:rPr>
        <w:t>课程</w:t>
      </w:r>
      <w:r>
        <w:rPr>
          <w:rFonts w:hint="default" w:ascii="仿宋_GB2312" w:hAnsi="仿宋_GB2312" w:eastAsia="仿宋_GB2312" w:cs="仿宋_GB2312"/>
          <w:sz w:val="32"/>
          <w:szCs w:val="32"/>
          <w:lang w:val="en-US" w:eastAsia="zh-CN"/>
        </w:rPr>
        <w:t>结构与布局，提高专业建设水平。目前学校开设：药剂、中医康复技术、中医养生保健、口腔修复工艺等特色医药专业，</w:t>
      </w:r>
      <w:r>
        <w:rPr>
          <w:rFonts w:hint="eastAsia" w:ascii="仿宋_GB2312" w:hAnsi="仿宋_GB2312" w:eastAsia="仿宋_GB2312" w:cs="仿宋_GB2312"/>
          <w:sz w:val="32"/>
          <w:szCs w:val="32"/>
          <w:lang w:val="en-US" w:eastAsia="zh-CN"/>
        </w:rPr>
        <w:t>并分别</w:t>
      </w:r>
      <w:r>
        <w:rPr>
          <w:rFonts w:hint="default" w:ascii="仿宋_GB2312" w:hAnsi="仿宋_GB2312" w:eastAsia="仿宋_GB2312" w:cs="仿宋_GB2312"/>
          <w:sz w:val="32"/>
          <w:szCs w:val="32"/>
          <w:lang w:val="en-US" w:eastAsia="zh-CN"/>
        </w:rPr>
        <w:t>与铜川职业技术学院、医学高等专科学校联办专业3+2药学、3+2康复治疗技术，</w:t>
      </w:r>
      <w:r>
        <w:rPr>
          <w:rFonts w:hint="eastAsia" w:ascii="仿宋_GB2312" w:hAnsi="仿宋_GB2312" w:eastAsia="仿宋_GB2312" w:cs="仿宋_GB2312"/>
          <w:sz w:val="32"/>
          <w:szCs w:val="32"/>
          <w:lang w:val="en-US" w:eastAsia="zh-CN"/>
        </w:rPr>
        <w:t>3+2口腔医学技术</w:t>
      </w:r>
      <w:r>
        <w:rPr>
          <w:rFonts w:hint="default" w:ascii="仿宋_GB2312" w:hAnsi="仿宋_GB2312" w:eastAsia="仿宋_GB2312" w:cs="仿宋_GB2312"/>
          <w:sz w:val="32"/>
          <w:szCs w:val="32"/>
          <w:lang w:val="en-US" w:eastAsia="zh-CN"/>
        </w:rPr>
        <w:t>致力于实现中高职教育的有效衔接。专业学科类别占医药卫生类100%。</w:t>
      </w:r>
      <w:bookmarkEnd w:id="28"/>
      <w:r>
        <w:rPr>
          <w:rFonts w:hint="eastAsia" w:ascii="仿宋_GB2312" w:hAnsi="仿宋_GB2312" w:eastAsia="仿宋_GB2312" w:cs="仿宋_GB2312"/>
          <w:sz w:val="32"/>
          <w:szCs w:val="32"/>
          <w:lang w:val="en-US" w:eastAsia="zh-CN"/>
        </w:rPr>
        <w:t>近三年来各专业招生情况：2023级药剂337人，中医康复技术350人，口腔修复工艺44人，3+2康复治疗技术121人，3+2药学133人，2023级合计985人；2024级药剂375人，中医康复技术189人，口腔修复工艺60人，中医养生保健67人，3+2康复治疗技术134人，3+2药学119人，2024级合计944人；2025级药剂409人，中医康复技术217人，中医养生保健27人，口腔修复工艺64人，3+2康复治疗技术147人，3+2药学72人，3+2口腔15人，2025级合计951人，三级在籍学生总计2880人。</w:t>
      </w:r>
    </w:p>
    <w:p w14:paraId="0C2FBA5A">
      <w:pPr>
        <w:pStyle w:val="10"/>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480" w:firstLineChars="200"/>
        <w:jc w:val="center"/>
        <w:textAlignment w:val="auto"/>
        <w:rPr>
          <w:rFonts w:hint="eastAsia" w:ascii="仿宋_GB2312" w:hAnsi="仿宋_GB2312" w:eastAsia="仿宋_GB2312" w:cs="仿宋_GB2312"/>
          <w:sz w:val="32"/>
          <w:szCs w:val="32"/>
          <w:lang w:val="en-US" w:eastAsia="zh-CN"/>
        </w:rPr>
      </w:pPr>
      <w:r>
        <w:t xml:space="preserve">表 </w:t>
      </w:r>
      <w:r>
        <w:fldChar w:fldCharType="begin"/>
      </w:r>
      <w:r>
        <w:instrText xml:space="preserve"> SEQ 表 \* ARABIC </w:instrText>
      </w:r>
      <w:r>
        <w:fldChar w:fldCharType="separate"/>
      </w:r>
      <w:r>
        <w:t>4</w:t>
      </w:r>
      <w:r>
        <w:fldChar w:fldCharType="end"/>
      </w:r>
      <w:bookmarkStart w:id="29" w:name="_Toc3889"/>
      <w:r>
        <w:rPr>
          <w:rFonts w:hint="eastAsia"/>
          <w:lang w:eastAsia="zh-CN"/>
        </w:rPr>
        <w:t>：各专业在校生数据</w:t>
      </w:r>
      <w:bookmarkEnd w:id="29"/>
    </w:p>
    <w:tbl>
      <w:tblPr>
        <w:tblStyle w:val="21"/>
        <w:tblW w:w="89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0"/>
        <w:gridCol w:w="795"/>
        <w:gridCol w:w="1148"/>
        <w:gridCol w:w="1148"/>
        <w:gridCol w:w="1148"/>
        <w:gridCol w:w="1219"/>
        <w:gridCol w:w="876"/>
        <w:gridCol w:w="876"/>
        <w:gridCol w:w="791"/>
      </w:tblGrid>
      <w:tr w14:paraId="5817C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66" w:type="dxa"/>
            <w:vMerge w:val="restart"/>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noWrap/>
            <w:vAlign w:val="center"/>
          </w:tcPr>
          <w:p w14:paraId="5B67ADA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年级</w:t>
            </w:r>
          </w:p>
        </w:tc>
        <w:tc>
          <w:tcPr>
            <w:tcW w:w="1226" w:type="dxa"/>
            <w:gridSpan w:val="7"/>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noWrap/>
            <w:vAlign w:val="center"/>
          </w:tcPr>
          <w:p w14:paraId="6753B11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专业</w:t>
            </w:r>
          </w:p>
        </w:tc>
        <w:tc>
          <w:tcPr>
            <w:tcW w:w="795" w:type="dxa"/>
            <w:vMerge w:val="restart"/>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noWrap/>
            <w:vAlign w:val="center"/>
          </w:tcPr>
          <w:p w14:paraId="1D5FE8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sz w:val="22"/>
                <w:szCs w:val="22"/>
                <w:u w:val="none"/>
              </w:rPr>
            </w:pPr>
            <w:r>
              <w:rPr>
                <w:rFonts w:hint="eastAsia" w:ascii="宋体" w:hAnsi="宋体" w:eastAsia="宋体" w:cs="宋体"/>
                <w:b/>
                <w:i w:val="0"/>
                <w:iCs w:val="0"/>
                <w:color w:val="FFFFFF"/>
                <w:kern w:val="0"/>
                <w:sz w:val="22"/>
                <w:szCs w:val="22"/>
                <w:u w:val="none"/>
                <w:lang w:val="en-US" w:eastAsia="zh-CN" w:bidi="ar"/>
              </w:rPr>
              <w:t>合计</w:t>
            </w:r>
          </w:p>
        </w:tc>
      </w:tr>
      <w:tr w14:paraId="7C703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066" w:type="dxa"/>
            <w:vMerge w:val="continue"/>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FC9C20A">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c>
          <w:tcPr>
            <w:tcW w:w="799"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7A3BF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药剂</w:t>
            </w:r>
          </w:p>
        </w:tc>
        <w:tc>
          <w:tcPr>
            <w:tcW w:w="1154"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38DA7F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中医康复技术</w:t>
            </w:r>
          </w:p>
        </w:tc>
        <w:tc>
          <w:tcPr>
            <w:tcW w:w="1154"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3B96A6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口腔修复工艺</w:t>
            </w:r>
          </w:p>
        </w:tc>
        <w:tc>
          <w:tcPr>
            <w:tcW w:w="1154"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117999A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中医养生保健</w:t>
            </w:r>
          </w:p>
        </w:tc>
        <w:tc>
          <w:tcPr>
            <w:tcW w:w="1226"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771015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3+2康复治疗技术</w:t>
            </w:r>
          </w:p>
        </w:tc>
        <w:tc>
          <w:tcPr>
            <w:tcW w:w="881"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5522D0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3+2药学</w:t>
            </w:r>
          </w:p>
        </w:tc>
        <w:tc>
          <w:tcPr>
            <w:tcW w:w="881"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7F1254F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3+2口腔</w:t>
            </w:r>
          </w:p>
        </w:tc>
        <w:tc>
          <w:tcPr>
            <w:tcW w:w="795" w:type="dxa"/>
            <w:vMerge w:val="continue"/>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767329FB">
            <w:pPr>
              <w:snapToGrid w:val="0"/>
              <w:ind w:left="0" w:leftChars="0" w:right="0" w:rightChars="0" w:firstLine="0" w:firstLineChars="0"/>
              <w:jc w:val="center"/>
              <w:rPr>
                <w:rFonts w:hint="eastAsia" w:ascii="宋体" w:hAnsi="宋体" w:eastAsia="宋体" w:cs="宋体"/>
                <w:b w:val="0"/>
                <w:i w:val="0"/>
                <w:iCs w:val="0"/>
                <w:color w:val="000000"/>
                <w:sz w:val="22"/>
                <w:szCs w:val="22"/>
                <w:u w:val="none"/>
              </w:rPr>
            </w:pPr>
          </w:p>
        </w:tc>
      </w:tr>
      <w:tr w14:paraId="07489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6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D68FB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2023级</w:t>
            </w:r>
          </w:p>
        </w:tc>
        <w:tc>
          <w:tcPr>
            <w:tcW w:w="799"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4D28B2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337</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B00563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350</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3F4D85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44</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0A2237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0</w:t>
            </w:r>
          </w:p>
        </w:tc>
        <w:tc>
          <w:tcPr>
            <w:tcW w:w="122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644E5B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121</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724E4B8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133</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23A364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0</w:t>
            </w:r>
          </w:p>
        </w:tc>
        <w:tc>
          <w:tcPr>
            <w:tcW w:w="79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noWrap/>
            <w:vAlign w:val="center"/>
          </w:tcPr>
          <w:p w14:paraId="5C67BC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985</w:t>
            </w:r>
          </w:p>
        </w:tc>
      </w:tr>
      <w:tr w14:paraId="0055F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6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79E93C6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2024级</w:t>
            </w:r>
          </w:p>
        </w:tc>
        <w:tc>
          <w:tcPr>
            <w:tcW w:w="799"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B192EE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375</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7446D0E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189</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3717375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60</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6627EB1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67</w:t>
            </w:r>
          </w:p>
        </w:tc>
        <w:tc>
          <w:tcPr>
            <w:tcW w:w="122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CA0741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134</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5F92AA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119</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C09D41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0</w:t>
            </w:r>
          </w:p>
        </w:tc>
        <w:tc>
          <w:tcPr>
            <w:tcW w:w="79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noWrap/>
            <w:vAlign w:val="center"/>
          </w:tcPr>
          <w:p w14:paraId="0F3AD31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944</w:t>
            </w:r>
          </w:p>
        </w:tc>
      </w:tr>
      <w:tr w14:paraId="33BC7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66" w:type="dxa"/>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743A9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2025级</w:t>
            </w:r>
          </w:p>
        </w:tc>
        <w:tc>
          <w:tcPr>
            <w:tcW w:w="799"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CC41D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409</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6AB6AA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217</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277B9E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64</w:t>
            </w:r>
          </w:p>
        </w:tc>
        <w:tc>
          <w:tcPr>
            <w:tcW w:w="1154"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386659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27</w:t>
            </w:r>
          </w:p>
        </w:tc>
        <w:tc>
          <w:tcPr>
            <w:tcW w:w="1226"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03B3F4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147</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731D633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72</w:t>
            </w:r>
          </w:p>
        </w:tc>
        <w:tc>
          <w:tcPr>
            <w:tcW w:w="881"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2A34AF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15</w:t>
            </w:r>
          </w:p>
        </w:tc>
        <w:tc>
          <w:tcPr>
            <w:tcW w:w="795"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noWrap/>
            <w:vAlign w:val="center"/>
          </w:tcPr>
          <w:p w14:paraId="01904F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951</w:t>
            </w:r>
          </w:p>
        </w:tc>
      </w:tr>
      <w:tr w14:paraId="4D4E0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66" w:type="dxa"/>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FFFFFF"/>
            <w:noWrap/>
            <w:vAlign w:val="center"/>
          </w:tcPr>
          <w:p w14:paraId="394BB7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合计</w:t>
            </w:r>
          </w:p>
        </w:tc>
        <w:tc>
          <w:tcPr>
            <w:tcW w:w="799"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288A5AD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1121</w:t>
            </w:r>
          </w:p>
        </w:tc>
        <w:tc>
          <w:tcPr>
            <w:tcW w:w="1154"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77698EF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756</w:t>
            </w:r>
          </w:p>
        </w:tc>
        <w:tc>
          <w:tcPr>
            <w:tcW w:w="1154"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25958A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168</w:t>
            </w:r>
          </w:p>
        </w:tc>
        <w:tc>
          <w:tcPr>
            <w:tcW w:w="1154"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61EF9E1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94</w:t>
            </w:r>
          </w:p>
        </w:tc>
        <w:tc>
          <w:tcPr>
            <w:tcW w:w="1226"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39A62C9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402</w:t>
            </w:r>
          </w:p>
        </w:tc>
        <w:tc>
          <w:tcPr>
            <w:tcW w:w="881"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7782BB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324</w:t>
            </w:r>
          </w:p>
        </w:tc>
        <w:tc>
          <w:tcPr>
            <w:tcW w:w="881"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FFFFFF"/>
            <w:noWrap/>
            <w:vAlign w:val="center"/>
          </w:tcPr>
          <w:p w14:paraId="3D47734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15</w:t>
            </w:r>
          </w:p>
        </w:tc>
        <w:tc>
          <w:tcPr>
            <w:tcW w:w="795"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FFFFFF"/>
            <w:noWrap/>
            <w:vAlign w:val="center"/>
          </w:tcPr>
          <w:p w14:paraId="27908E5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sz w:val="22"/>
                <w:szCs w:val="22"/>
                <w:u w:val="none"/>
              </w:rPr>
            </w:pPr>
            <w:r>
              <w:rPr>
                <w:rFonts w:hint="eastAsia" w:ascii="宋体" w:hAnsi="宋体" w:eastAsia="宋体" w:cs="宋体"/>
                <w:b w:val="0"/>
                <w:i w:val="0"/>
                <w:iCs w:val="0"/>
                <w:color w:val="000000"/>
                <w:kern w:val="0"/>
                <w:sz w:val="22"/>
                <w:szCs w:val="22"/>
                <w:u w:val="none"/>
                <w:lang w:val="en-US" w:eastAsia="zh-CN" w:bidi="ar"/>
              </w:rPr>
              <w:t>2880</w:t>
            </w:r>
          </w:p>
        </w:tc>
      </w:tr>
    </w:tbl>
    <w:p w14:paraId="3E2B3FB6">
      <w:pPr>
        <w:keepNext w:val="0"/>
        <w:keepLines w:val="0"/>
        <w:pageBreakBefore w:val="0"/>
        <w:widowControl w:val="0"/>
        <w:kinsoku/>
        <w:wordWrap/>
        <w:overflowPunct/>
        <w:topLinePunct w:val="0"/>
        <w:autoSpaceDE/>
        <w:autoSpaceDN/>
        <w:bidi w:val="0"/>
        <w:adjustRightInd/>
        <w:snapToGrid/>
        <w:spacing w:beforeLines="0" w:beforeAutospacing="0" w:afterLines="0" w:after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p>
    <w:p w14:paraId="22BDEF91">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bookmarkStart w:id="30" w:name="_Toc14655"/>
      <w:r>
        <w:t>2</w:t>
      </w:r>
      <w:r>
        <w:rPr>
          <w:rFonts w:hint="eastAsia"/>
        </w:rPr>
        <w:t>.</w:t>
      </w:r>
      <w:r>
        <w:rPr>
          <w:rFonts w:hint="eastAsia"/>
          <w:lang w:val="en-US" w:eastAsia="zh-CN"/>
        </w:rPr>
        <w:t>4</w:t>
      </w:r>
      <w:r>
        <w:rPr>
          <w:rFonts w:hint="eastAsia"/>
        </w:rPr>
        <w:t>课程建设</w:t>
      </w:r>
      <w:bookmarkEnd w:id="30"/>
    </w:p>
    <w:p w14:paraId="66FD0E29">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w:t>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 xml:space="preserve"> 202</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5</w:t>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级人才培养方案依据《国家职业教育改革实施方案》《教育部关于职业院校专业人才培养方案制订与实施工作的指导意见》精神，立足社会发展需求，立足中等职业教育，突出学校专业特色。结合</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w:t>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人才培养目标，及时把新技术、新工艺、新规范</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有机</w:t>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纳入教学，构建完善课程体系，使修订后的人才培养方案更具有科学性、规范性、开放性、融通性，更注重学生综合素养提升和实践能力培养，更符合高素质技术技能人才培养要求。</w:t>
      </w:r>
    </w:p>
    <w:p w14:paraId="48B59500">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bookmarkStart w:id="31" w:name="_Toc19890"/>
      <w:r>
        <w:rPr>
          <w:rFonts w:hint="eastAsia"/>
        </w:rPr>
        <w:t>2.5教学改革（含数字化教学资源建设）</w:t>
      </w:r>
      <w:bookmarkEnd w:id="31"/>
    </w:p>
    <w:p w14:paraId="51C1D432">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2.5.1教法改革方面</w:t>
      </w:r>
    </w:p>
    <w:p w14:paraId="1BB600EF">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培养与现代化建设要求相适应，德、智、体、美、劳全面发展，具有综合素养较高的技能型人才。在学生培养目标上主要着重以下方面：具有基本的科学文化素养、继续学习的能力和创新精神；具有良好的职业道德，掌握必要的文化基础知识、专业知识和较为熟练的职业技能，具有较强的就业能力和一定的创业能力；具有健康的身体和心理；具有基本的欣赏美和创造美的能力。现代职业教育教学的核心是强调学生的中心地位，教师的作用是指挥、引导、协调。学校教师在教学方法改革方面不断有突破性进展。一是多种教学模式并用，以学生为主体，教师为主导，形成理论与实践结合符合中职生学习特性的教育模式。二是教学组织形式丰富，多采用案例教学、项目式教学等组织形式。</w:t>
      </w:r>
    </w:p>
    <w:p w14:paraId="7E091275">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2.5.2教材建设方面</w:t>
      </w:r>
    </w:p>
    <w:p w14:paraId="17D9377B">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强化教材监管方面。学校领导十分重视教材建设和管理工作，成立教材工作选用指导委员会，制定学校教材管理办法。严格落实教材管理办法，教材审核、选用、使用坚持集体决策，上会讨论，遵循“凡编必审、凡选必审、质量第一、公平公正、适宜教学”的原则，把好教材审核关、选用使用关，教材选、审、用过程规范。按照《职业院校教材管理办法》《中等职业学校公共基础课程方案》《“十四五”职业教育规划教材建设实施方案》和中等职业学校10门公共基础课程标准要求，配齐规范的中职教材，重视教材来源，征订高等教育出版社、人民卫生出版社出版的正规教材，同步教材更新，使用“十四五”规划教材，公家统编教材，保证教材合规正统性，符合国家对教材的要求。</w:t>
      </w:r>
    </w:p>
    <w:p w14:paraId="2A417CF5">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2.5.3数字化教学资源建设方面</w:t>
      </w:r>
    </w:p>
    <w:p w14:paraId="78D08731">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成功构建了数字化信息化平台，学校目前拥有数十种平台，其中用于教学的有青果平台，用于职业技能等级评价的有陕西省人才评价平台等。这些平台为学校特色建设、教师专业发展、学生素质提升开辟了信息化通道。我们在建设与应用方面投入了大量努力，以全面提升学校教育信息化的应用水平。</w:t>
      </w:r>
    </w:p>
    <w:p w14:paraId="701A329B">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2.5.4教师队伍建设方面</w:t>
      </w:r>
    </w:p>
    <w:p w14:paraId="1D407512">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现有教职工230人，学校专任教师160人、硕士研究生25人、中级职称39人，高级职称38人，“双师型”教师80人，占专任教师的50%以上、师生比达到1:19。按照标准配备体育、音乐、美术教师，配备校医2人，心理健康教育教师1人，学校有企业家、医院、院校、高技能人才为主体的教师师资库。专任教师学历达到规定标准，专业对口的教师占100%；专任教师中的理论课教师学历均达到本科及以上学历，其中研究生学历达到15.6%；专业课教师数量高于专任教师的50%以上，其中“双师型”教师达到50%以上；每个专业配备2人具有中级以上专业技术职务的专任教师。</w:t>
      </w:r>
    </w:p>
    <w:p w14:paraId="15E664F8">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学校高度重视师资队伍建设，主要从以下四个方面体现：</w:t>
      </w:r>
    </w:p>
    <w:p w14:paraId="21394AD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一是重视师德师风建设。学校高度重视师德师风建设，以“</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办好人民满意的教育</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创家长满意的学校，做学生满意的老师”为目标，以重视教职工思想政治素质和职业道德水平为重点，以解决存在的突出问题为关键，通过师德师风学习教育整顿活动，切实提高学校教职工师德素养，营造文明、和谐、健康的教书育人环境，努力建设一支能够担当起教书育人重任的，让人民满意的，高素质的教师队伍。认真落实《教师职业道德规范》《中华人民共和国教师法》《中等职业学校职业道德规范》《中等职业学校教师专业标准</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》等</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全面提高学校教师师德水平，加强教师行为规范。在教师队伍建设中深入开展“立师德、铸师魂、正师风”主题教育活动，建立教师师德档案，落实师德建设“十种禁行行为”和“六个严禁”，规范教师教育教学行为，培养“师德高尚、业务精湛、爱岗敬业”的教师队伍，促进学校稳定、持续、健康发展。</w:t>
      </w:r>
    </w:p>
    <w:p w14:paraId="3ADAD2E0">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cs="仿宋"/>
          <w:b w:val="0"/>
          <w:bCs/>
          <w:color w:val="000000" w:themeColor="text1"/>
          <w:kern w:val="2"/>
          <w:sz w:val="32"/>
          <w:szCs w:val="32"/>
          <w:lang w:val="en-US" w:eastAsia="zh-CN" w:bidi="ar-SA"/>
          <w14:textFill>
            <w14:solidFill>
              <w14:schemeClr w14:val="tx1"/>
            </w14:solidFill>
          </w14:textFill>
        </w:rPr>
        <w:t xml:space="preserve">二是加强教师专业培训与发展。学校定期组织教师参加各类专业发展活动，包括校本培训、校外研修、在线学习课程等，覆盖教育教学新理念、新技术应用及学科前沿知识，确保教师知识结构与时俱进。同时，鼓励教师参与国家级和省级教师培训项目，如“国培计划”和“省培工程”，提升教师综合素养和教学创新能力。学校还建立教师专业成长档案，记录个人培训经历、教学成果和职业规划，为教师提供个性化发展指导，促进教师队伍整体专业化水平提升。 </w:t>
      </w:r>
    </w:p>
    <w:p w14:paraId="244D15C2">
      <w:pPr>
        <w:pStyle w:val="10"/>
        <w:keepNext w:val="0"/>
        <w:keepLines w:val="0"/>
        <w:pageBreakBefore w:val="0"/>
        <w:widowControl w:val="0"/>
        <w:suppressLineNumbers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t xml:space="preserve">表 </w:t>
      </w:r>
      <w:r>
        <w:fldChar w:fldCharType="begin"/>
      </w:r>
      <w:r>
        <w:instrText xml:space="preserve"> SEQ 表 \* ARABIC </w:instrText>
      </w:r>
      <w:r>
        <w:fldChar w:fldCharType="separate"/>
      </w:r>
      <w:r>
        <w:t>5</w:t>
      </w:r>
      <w:r>
        <w:fldChar w:fldCharType="end"/>
      </w:r>
      <w:bookmarkStart w:id="32" w:name="_Toc15520"/>
      <w:r>
        <w:rPr>
          <w:rFonts w:hint="eastAsia"/>
          <w:lang w:eastAsia="zh-CN"/>
        </w:rPr>
        <w:t>：教师年度培训开展情况</w:t>
      </w:r>
      <w:bookmarkEnd w:id="32"/>
    </w:p>
    <w:tbl>
      <w:tblPr>
        <w:tblStyle w:val="21"/>
        <w:tblW w:w="88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1"/>
        <w:gridCol w:w="2040"/>
        <w:gridCol w:w="6058"/>
      </w:tblGrid>
      <w:tr w14:paraId="33DC8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01" w:type="dxa"/>
            <w:tcBorders>
              <w:top w:val="single" w:color="5B9BD5" w:themeColor="accent1" w:sz="6" w:space="0"/>
              <w:left w:val="single" w:color="5B9BD5" w:themeColor="accent1" w:sz="6" w:space="0"/>
              <w:bottom w:val="single" w:color="5B9BD5" w:themeColor="accent1" w:sz="6" w:space="0"/>
              <w:right w:val="single" w:color="BDD6EE" w:themeColor="accent1" w:themeTint="66" w:sz="6" w:space="0"/>
            </w:tcBorders>
            <w:shd w:val="clear" w:color="auto" w:fill="5B9BD5" w:themeFill="accent1"/>
            <w:noWrap/>
            <w:vAlign w:val="center"/>
          </w:tcPr>
          <w:p w14:paraId="3B5A4800">
            <w:pPr>
              <w:rPr>
                <w:rFonts w:hint="eastAsia" w:ascii="宋体" w:hAnsi="宋体" w:eastAsia="宋体" w:cs="宋体"/>
                <w:b/>
                <w:i w:val="0"/>
                <w:iCs w:val="0"/>
                <w:color w:val="FFFFFF"/>
                <w:sz w:val="24"/>
                <w:szCs w:val="24"/>
                <w:u w:val="none"/>
              </w:rPr>
            </w:pPr>
          </w:p>
        </w:tc>
        <w:tc>
          <w:tcPr>
            <w:tcW w:w="2040" w:type="dxa"/>
            <w:tcBorders>
              <w:top w:val="single" w:color="5B9BD5" w:themeColor="accent1" w:sz="6" w:space="0"/>
              <w:left w:val="single" w:color="BDD6EE" w:themeColor="accent1" w:themeTint="66" w:sz="6" w:space="0"/>
              <w:bottom w:val="single" w:color="5B9BD5" w:themeColor="accent1" w:sz="6" w:space="0"/>
              <w:right w:val="single" w:color="BDD6EE" w:themeColor="accent1" w:themeTint="66" w:sz="6" w:space="0"/>
            </w:tcBorders>
            <w:shd w:val="clear" w:color="auto" w:fill="5B9BD5" w:themeFill="accent1"/>
            <w:vAlign w:val="center"/>
          </w:tcPr>
          <w:p w14:paraId="081FAF9A">
            <w:pPr>
              <w:keepNext w:val="0"/>
              <w:keepLines w:val="0"/>
              <w:widowControl/>
              <w:suppressLineNumbers w:val="0"/>
              <w:ind w:left="0" w:leftChars="0" w:firstLine="0" w:firstLineChars="0"/>
              <w:jc w:val="both"/>
              <w:textAlignment w:val="center"/>
              <w:rPr>
                <w:rFonts w:hint="eastAsia" w:ascii="宋体" w:hAnsi="宋体" w:eastAsia="宋体" w:cs="宋体"/>
                <w:b/>
                <w:i w:val="0"/>
                <w:iCs w:val="0"/>
                <w:color w:val="FFFFFF"/>
                <w:sz w:val="18"/>
                <w:szCs w:val="18"/>
                <w:u w:val="none"/>
              </w:rPr>
            </w:pPr>
            <w:r>
              <w:rPr>
                <w:rFonts w:hint="eastAsia" w:ascii="宋体" w:hAnsi="宋体" w:eastAsia="宋体" w:cs="宋体"/>
                <w:b/>
                <w:i w:val="0"/>
                <w:iCs w:val="0"/>
                <w:color w:val="FFFFFF"/>
                <w:kern w:val="0"/>
                <w:sz w:val="18"/>
                <w:szCs w:val="18"/>
                <w:u w:val="none"/>
                <w:lang w:val="en-US" w:eastAsia="zh-CN" w:bidi="ar"/>
              </w:rPr>
              <w:t>参加培训项目名称</w:t>
            </w:r>
          </w:p>
        </w:tc>
        <w:tc>
          <w:tcPr>
            <w:tcW w:w="6058" w:type="dxa"/>
            <w:tcBorders>
              <w:top w:val="single" w:color="5B9BD5" w:themeColor="accent1" w:sz="6" w:space="0"/>
              <w:left w:val="single" w:color="BDD6EE" w:themeColor="accent1" w:themeTint="66" w:sz="6" w:space="0"/>
              <w:bottom w:val="single" w:color="5B9BD5" w:themeColor="accent1" w:sz="6" w:space="0"/>
              <w:right w:val="single" w:color="5B9BD5" w:themeColor="accent1" w:sz="6" w:space="0"/>
            </w:tcBorders>
            <w:shd w:val="clear" w:color="auto" w:fill="5B9BD5" w:themeFill="accent1"/>
            <w:vAlign w:val="center"/>
          </w:tcPr>
          <w:p w14:paraId="0C86BDB0">
            <w:pPr>
              <w:keepNext w:val="0"/>
              <w:keepLines w:val="0"/>
              <w:widowControl/>
              <w:suppressLineNumbers w:val="0"/>
              <w:jc w:val="center"/>
              <w:textAlignment w:val="center"/>
              <w:rPr>
                <w:rFonts w:hint="eastAsia" w:ascii="宋体" w:hAnsi="宋体" w:eastAsia="宋体" w:cs="宋体"/>
                <w:b/>
                <w:i w:val="0"/>
                <w:iCs w:val="0"/>
                <w:color w:val="FFFFFF"/>
                <w:sz w:val="18"/>
                <w:szCs w:val="18"/>
                <w:u w:val="none"/>
              </w:rPr>
            </w:pPr>
            <w:r>
              <w:rPr>
                <w:rFonts w:hint="eastAsia" w:ascii="宋体" w:hAnsi="宋体" w:eastAsia="宋体" w:cs="宋体"/>
                <w:b/>
                <w:i w:val="0"/>
                <w:iCs w:val="0"/>
                <w:color w:val="FFFFFF"/>
                <w:kern w:val="0"/>
                <w:sz w:val="18"/>
                <w:szCs w:val="18"/>
                <w:u w:val="none"/>
                <w:lang w:val="en-US" w:eastAsia="zh-CN" w:bidi="ar"/>
              </w:rPr>
              <w:t>参加培训专业（项目）</w:t>
            </w:r>
          </w:p>
        </w:tc>
      </w:tr>
      <w:tr w14:paraId="45A5B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801" w:type="dxa"/>
            <w:vMerge w:val="restart"/>
            <w:tcBorders>
              <w:top w:val="single" w:color="5B9BD5" w:themeColor="accent1"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3242B9FD">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国培</w:t>
            </w:r>
          </w:p>
        </w:tc>
        <w:tc>
          <w:tcPr>
            <w:tcW w:w="2040" w:type="dxa"/>
            <w:tcBorders>
              <w:top w:val="single" w:color="5B9BD5" w:themeColor="accent1"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23BD4334">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课程实施能力提升</w:t>
            </w:r>
          </w:p>
        </w:tc>
        <w:tc>
          <w:tcPr>
            <w:tcW w:w="6058" w:type="dxa"/>
            <w:tcBorders>
              <w:top w:val="single" w:color="5B9BD5" w:themeColor="accent1"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3F59B08">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“金课”模块化建设与组织实施能力提升</w:t>
            </w:r>
          </w:p>
        </w:tc>
      </w:tr>
      <w:tr w14:paraId="0B08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49421FE7">
            <w:pPr>
              <w:jc w:val="center"/>
              <w:rPr>
                <w:rFonts w:hint="eastAsia" w:ascii="宋体" w:hAnsi="宋体" w:eastAsia="宋体" w:cs="宋体"/>
                <w:b w:val="0"/>
                <w:i w:val="0"/>
                <w:iCs w:val="0"/>
                <w:color w:val="000000"/>
                <w:sz w:val="18"/>
                <w:szCs w:val="18"/>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08A25913">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信息技术应用能力提升</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2D1A0B4E">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青年骨干教师智能混合式教学能力提升</w:t>
            </w:r>
          </w:p>
        </w:tc>
      </w:tr>
      <w:tr w14:paraId="4F993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53F3EDD4">
            <w:pPr>
              <w:jc w:val="center"/>
              <w:rPr>
                <w:rFonts w:hint="eastAsia" w:ascii="宋体" w:hAnsi="宋体" w:eastAsia="宋体" w:cs="宋体"/>
                <w:b w:val="0"/>
                <w:i w:val="0"/>
                <w:iCs w:val="0"/>
                <w:color w:val="000000"/>
                <w:sz w:val="18"/>
                <w:szCs w:val="18"/>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0BA3F4C">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公共基础课教学能力提升</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B1E0382">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心理健康教育教师AI情绪识别能力提升</w:t>
            </w:r>
          </w:p>
        </w:tc>
      </w:tr>
      <w:tr w14:paraId="42A6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3642B812">
            <w:pPr>
              <w:jc w:val="center"/>
              <w:rPr>
                <w:rFonts w:hint="eastAsia" w:ascii="宋体" w:hAnsi="宋体" w:eastAsia="宋体" w:cs="宋体"/>
                <w:b w:val="0"/>
                <w:i w:val="0"/>
                <w:iCs w:val="0"/>
                <w:color w:val="000000"/>
                <w:sz w:val="18"/>
                <w:szCs w:val="18"/>
                <w:u w:val="none"/>
              </w:rPr>
            </w:pPr>
          </w:p>
        </w:tc>
        <w:tc>
          <w:tcPr>
            <w:tcW w:w="20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7DDA59C7">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骨干队伍培训</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142E2959">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教务主任智能决策能力提升</w:t>
            </w:r>
          </w:p>
        </w:tc>
      </w:tr>
      <w:tr w14:paraId="34011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8940A71">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31D702E8">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6BF7FF02">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银龄智慧教育：AI赋能的社区（老年）教育专项培训</w:t>
            </w:r>
          </w:p>
        </w:tc>
      </w:tr>
      <w:tr w14:paraId="03121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CEF0EF3">
            <w:pPr>
              <w:jc w:val="center"/>
              <w:rPr>
                <w:rFonts w:hint="eastAsia" w:ascii="宋体" w:hAnsi="宋体" w:eastAsia="宋体" w:cs="宋体"/>
                <w:b w:val="0"/>
                <w:i w:val="0"/>
                <w:iCs w:val="0"/>
                <w:color w:val="000000"/>
                <w:sz w:val="18"/>
                <w:szCs w:val="18"/>
                <w:u w:val="none"/>
              </w:rPr>
            </w:pPr>
          </w:p>
        </w:tc>
        <w:tc>
          <w:tcPr>
            <w:tcW w:w="20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BEEC470">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专题研修</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21D6494A">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“五金衔接”中高职贯通专业协同培养专题研修</w:t>
            </w:r>
          </w:p>
        </w:tc>
      </w:tr>
      <w:tr w14:paraId="005E1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D9B7BB3">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CCF2DE8">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899BE11">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中职学校学生工作规范专题培训（一）</w:t>
            </w:r>
          </w:p>
        </w:tc>
      </w:tr>
      <w:tr w14:paraId="4857C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4FCCCFDC">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70334ED">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065C80D0">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中职学校学生工作规范专题培训（二）</w:t>
            </w:r>
          </w:p>
        </w:tc>
      </w:tr>
      <w:tr w14:paraId="7F87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45C00F05">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1FC74D93">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71021373">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中职学校安全管理专题培训</w:t>
            </w:r>
          </w:p>
        </w:tc>
      </w:tr>
      <w:tr w14:paraId="53338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1D1CF16">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2CA6DA66">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3B37004D">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中职教育教学管理骨干专题培训</w:t>
            </w:r>
          </w:p>
        </w:tc>
      </w:tr>
      <w:tr w14:paraId="0CC72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 w:hRule="atLeast"/>
        </w:trPr>
        <w:tc>
          <w:tcPr>
            <w:tcW w:w="80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6681188E">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省培</w:t>
            </w: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55E29DFE">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公共基础课教学能力提升</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DD933BA">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历史教师教学能力提升</w:t>
            </w:r>
          </w:p>
        </w:tc>
      </w:tr>
      <w:tr w14:paraId="7AE1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9108B3F">
            <w:pPr>
              <w:jc w:val="center"/>
              <w:rPr>
                <w:rFonts w:hint="eastAsia" w:ascii="宋体" w:hAnsi="宋体" w:eastAsia="宋体" w:cs="宋体"/>
                <w:b w:val="0"/>
                <w:i w:val="0"/>
                <w:iCs w:val="0"/>
                <w:color w:val="000000"/>
                <w:sz w:val="18"/>
                <w:szCs w:val="18"/>
                <w:u w:val="none"/>
              </w:rPr>
            </w:pPr>
          </w:p>
        </w:tc>
        <w:tc>
          <w:tcPr>
            <w:tcW w:w="20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5ACA9C08">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10301384">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中职学校党组织书记培训班</w:t>
            </w:r>
          </w:p>
        </w:tc>
      </w:tr>
      <w:tr w14:paraId="492C5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083321F1">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7675A940">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386F1D95">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中职学校班主任培训班</w:t>
            </w:r>
          </w:p>
        </w:tc>
      </w:tr>
      <w:tr w14:paraId="1AF15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52E88873">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31D2915B">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3BF9F838">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劳动教育教师培训班</w:t>
            </w:r>
          </w:p>
        </w:tc>
      </w:tr>
      <w:tr w14:paraId="02CD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50986BBA">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市培</w:t>
            </w:r>
          </w:p>
        </w:tc>
        <w:tc>
          <w:tcPr>
            <w:tcW w:w="2040" w:type="dxa"/>
            <w:vMerge w:val="restart"/>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89DC763">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34BE297">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西安市中小学心理健康教育分管校领导培训</w:t>
            </w:r>
          </w:p>
        </w:tc>
      </w:tr>
      <w:tr w14:paraId="68831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24C227AE">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3ABCFCDE">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01C14FC0">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教师教研活动</w:t>
            </w:r>
          </w:p>
        </w:tc>
      </w:tr>
      <w:tr w14:paraId="6249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1385DF7F">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noWrap/>
            <w:vAlign w:val="center"/>
          </w:tcPr>
          <w:p w14:paraId="413D2779">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19C21367">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教师教学观摩活动</w:t>
            </w:r>
          </w:p>
        </w:tc>
      </w:tr>
      <w:tr w14:paraId="0A4F8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1B583A12">
            <w:pPr>
              <w:jc w:val="center"/>
              <w:rPr>
                <w:rFonts w:hint="eastAsia" w:ascii="宋体" w:hAnsi="宋体" w:eastAsia="宋体" w:cs="宋体"/>
                <w:b w:val="0"/>
                <w:i w:val="0"/>
                <w:iCs w:val="0"/>
                <w:color w:val="000000"/>
                <w:sz w:val="18"/>
                <w:szCs w:val="18"/>
                <w:u w:val="none"/>
              </w:rPr>
            </w:pPr>
          </w:p>
        </w:tc>
        <w:tc>
          <w:tcPr>
            <w:tcW w:w="2040" w:type="dxa"/>
            <w:vMerge w:val="continue"/>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59D6A0FA">
            <w:pPr>
              <w:jc w:val="center"/>
              <w:rPr>
                <w:rFonts w:hint="eastAsia" w:ascii="宋体" w:hAnsi="宋体" w:eastAsia="宋体" w:cs="宋体"/>
                <w:b w:val="0"/>
                <w:i w:val="0"/>
                <w:iCs w:val="0"/>
                <w:color w:val="000000"/>
                <w:sz w:val="18"/>
                <w:szCs w:val="18"/>
                <w:u w:val="none"/>
              </w:rPr>
            </w:pP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631587F9">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教学改革创新研讨活动</w:t>
            </w:r>
          </w:p>
        </w:tc>
      </w:tr>
      <w:tr w14:paraId="061D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801" w:type="dxa"/>
            <w:vMerge w:val="restart"/>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68C1C2B8">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24"/>
                <w:szCs w:val="24"/>
                <w:u w:val="none"/>
              </w:rPr>
            </w:pPr>
            <w:r>
              <w:rPr>
                <w:rFonts w:hint="eastAsia" w:ascii="宋体" w:hAnsi="宋体" w:eastAsia="宋体" w:cs="宋体"/>
                <w:b w:val="0"/>
                <w:i w:val="0"/>
                <w:iCs w:val="0"/>
                <w:color w:val="000000"/>
                <w:kern w:val="0"/>
                <w:sz w:val="20"/>
                <w:szCs w:val="20"/>
                <w:u w:val="none"/>
                <w:lang w:val="en-US" w:eastAsia="zh-CN" w:bidi="ar"/>
              </w:rPr>
              <w:t>校级</w:t>
            </w: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7909E4CF">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师德师风建设</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2159EB61">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做一名内心强大且温暖而坚定的老师、老师既是学生的精神领袖又是学生的朋友、师德师风警示教育等</w:t>
            </w:r>
          </w:p>
        </w:tc>
      </w:tr>
      <w:tr w14:paraId="593BB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08FD9146">
            <w:pPr>
              <w:jc w:val="center"/>
              <w:rPr>
                <w:rFonts w:hint="eastAsia" w:ascii="宋体" w:hAnsi="宋体" w:eastAsia="宋体" w:cs="宋体"/>
                <w:b w:val="0"/>
                <w:i w:val="0"/>
                <w:iCs w:val="0"/>
                <w:color w:val="000000"/>
                <w:sz w:val="24"/>
                <w:szCs w:val="24"/>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58C8BF07">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班主任日常管理工作</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2865138F">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如何做好班主任常规管理工作、班级优化大师软件的应用、学生流失原因分析与经验分享、如何引导学生正确管理情、教育学生的四项基本原则、AI在班主任工作中的应用、如何开好班级的相关会议及新生的管理方法、班干部的选拔与培训、班级规章制度的建立与执行技巧、特殊学生的关注与引导等</w:t>
            </w:r>
          </w:p>
        </w:tc>
      </w:tr>
      <w:tr w14:paraId="19656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4"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1C61D748">
            <w:pPr>
              <w:jc w:val="center"/>
              <w:rPr>
                <w:rFonts w:hint="eastAsia" w:ascii="宋体" w:hAnsi="宋体" w:eastAsia="宋体" w:cs="宋体"/>
                <w:b w:val="0"/>
                <w:i w:val="0"/>
                <w:iCs w:val="0"/>
                <w:color w:val="000000"/>
                <w:sz w:val="24"/>
                <w:szCs w:val="24"/>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63A102BD">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教学业务能力提升</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46C0372C">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 xml:space="preserve">关于教学部相关数据核对与学籍管理相关事项、教学设计、专业标准解读、课程思政的实例应用、如何激发学生课堂学习兴趣、教师微课制作技巧、AI助力教学设计的重构与完善等   </w:t>
            </w:r>
          </w:p>
        </w:tc>
      </w:tr>
      <w:tr w14:paraId="41F0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EEF5FA" w:themeFill="accent1" w:themeFillTint="19"/>
            <w:noWrap/>
            <w:vAlign w:val="center"/>
          </w:tcPr>
          <w:p w14:paraId="26AEAFD8">
            <w:pPr>
              <w:jc w:val="center"/>
              <w:rPr>
                <w:rFonts w:hint="eastAsia" w:ascii="宋体" w:hAnsi="宋体" w:eastAsia="宋体" w:cs="宋体"/>
                <w:b w:val="0"/>
                <w:i w:val="0"/>
                <w:iCs w:val="0"/>
                <w:color w:val="000000"/>
                <w:sz w:val="24"/>
                <w:szCs w:val="24"/>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EEF5FA" w:themeFill="accent1" w:themeFillTint="19"/>
            <w:vAlign w:val="center"/>
          </w:tcPr>
          <w:p w14:paraId="6E711F78">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家校共建</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EEF5FA" w:themeFill="accent1" w:themeFillTint="19"/>
            <w:vAlign w:val="center"/>
          </w:tcPr>
          <w:p w14:paraId="0E797DFB">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lang w:val="en-US" w:eastAsia="zh-CN"/>
              </w:rPr>
            </w:pPr>
            <w:r>
              <w:rPr>
                <w:rFonts w:hint="eastAsia" w:ascii="宋体" w:hAnsi="宋体" w:eastAsia="宋体" w:cs="宋体"/>
                <w:b w:val="0"/>
                <w:i w:val="0"/>
                <w:iCs w:val="0"/>
                <w:color w:val="000000"/>
                <w:kern w:val="0"/>
                <w:sz w:val="18"/>
                <w:szCs w:val="18"/>
                <w:u w:val="none"/>
                <w:lang w:val="en-US" w:eastAsia="zh-CN" w:bidi="ar"/>
              </w:rPr>
              <w:t>教师如何处理家校关系、班主任的家校沟通方式与技巧、家校协作的价值等</w:t>
            </w:r>
          </w:p>
        </w:tc>
      </w:tr>
      <w:tr w14:paraId="73FAB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801" w:type="dxa"/>
            <w:vMerge w:val="continue"/>
            <w:tcBorders>
              <w:top w:val="single" w:color="BDD6EE" w:themeColor="accent1" w:themeTint="66" w:sz="6" w:space="0"/>
              <w:left w:val="single" w:color="5B9BD5" w:themeColor="accent1" w:sz="6" w:space="0"/>
              <w:bottom w:val="single" w:color="BDD6EE" w:themeColor="accent1" w:themeTint="66" w:sz="6" w:space="0"/>
              <w:right w:val="single" w:color="BDD6EE" w:themeColor="accent1" w:themeTint="66" w:sz="6" w:space="0"/>
            </w:tcBorders>
            <w:shd w:val="clear" w:color="auto" w:fill="FFFFFF"/>
            <w:noWrap/>
            <w:vAlign w:val="center"/>
          </w:tcPr>
          <w:p w14:paraId="5B3302A2">
            <w:pPr>
              <w:jc w:val="center"/>
              <w:rPr>
                <w:rFonts w:hint="eastAsia" w:ascii="宋体" w:hAnsi="宋体" w:eastAsia="宋体" w:cs="宋体"/>
                <w:b w:val="0"/>
                <w:i w:val="0"/>
                <w:iCs w:val="0"/>
                <w:color w:val="000000"/>
                <w:sz w:val="24"/>
                <w:szCs w:val="24"/>
                <w:u w:val="none"/>
              </w:rPr>
            </w:pPr>
          </w:p>
        </w:tc>
        <w:tc>
          <w:tcPr>
            <w:tcW w:w="2040" w:type="dxa"/>
            <w:tcBorders>
              <w:top w:val="single" w:color="BDD6EE" w:themeColor="accent1" w:themeTint="66" w:sz="6" w:space="0"/>
              <w:left w:val="single" w:color="BDD6EE" w:themeColor="accent1" w:themeTint="66" w:sz="6" w:space="0"/>
              <w:bottom w:val="single" w:color="BDD6EE" w:themeColor="accent1" w:themeTint="66" w:sz="6" w:space="0"/>
              <w:right w:val="single" w:color="BDD6EE" w:themeColor="accent1" w:themeTint="66" w:sz="6" w:space="0"/>
            </w:tcBorders>
            <w:shd w:val="clear" w:color="auto" w:fill="FFFFFF"/>
            <w:vAlign w:val="center"/>
          </w:tcPr>
          <w:p w14:paraId="024175F7">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校园安全管理</w:t>
            </w:r>
          </w:p>
        </w:tc>
        <w:tc>
          <w:tcPr>
            <w:tcW w:w="6058" w:type="dxa"/>
            <w:tcBorders>
              <w:top w:val="single" w:color="BDD6EE" w:themeColor="accent1" w:themeTint="66" w:sz="6" w:space="0"/>
              <w:left w:val="single" w:color="BDD6EE" w:themeColor="accent1" w:themeTint="66" w:sz="6" w:space="0"/>
              <w:bottom w:val="single" w:color="BDD6EE" w:themeColor="accent1" w:themeTint="66" w:sz="6" w:space="0"/>
              <w:right w:val="single" w:color="5B9BD5" w:themeColor="accent1" w:sz="6" w:space="0"/>
            </w:tcBorders>
            <w:shd w:val="clear" w:color="auto" w:fill="FFFFFF"/>
            <w:vAlign w:val="center"/>
          </w:tcPr>
          <w:p w14:paraId="50706FB1">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关注问题学生的心理疏导、心理健康培训、人防、物防、技防、全员视角下的校园安全风险识别与应对、突发事件的处理方法及流程、应急能力提升、常用消毒清洁剂使用指南及安全警示、防火疏散演练、秋冬季传染病预防等</w:t>
            </w:r>
          </w:p>
        </w:tc>
      </w:tr>
      <w:tr w14:paraId="429C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trPr>
        <w:tc>
          <w:tcPr>
            <w:tcW w:w="801" w:type="dxa"/>
            <w:vMerge w:val="continue"/>
            <w:tcBorders>
              <w:top w:val="single" w:color="BDD6EE" w:themeColor="accent1" w:themeTint="66" w:sz="6" w:space="0"/>
              <w:left w:val="single" w:color="5B9BD5" w:themeColor="accent1" w:sz="6" w:space="0"/>
              <w:bottom w:val="single" w:color="5B9BD5" w:themeColor="accent1" w:sz="6" w:space="0"/>
              <w:right w:val="single" w:color="BDD6EE" w:themeColor="accent1" w:themeTint="66" w:sz="6" w:space="0"/>
            </w:tcBorders>
            <w:shd w:val="clear" w:color="auto" w:fill="EEF5FA" w:themeFill="accent1" w:themeFillTint="19"/>
            <w:noWrap/>
            <w:vAlign w:val="center"/>
          </w:tcPr>
          <w:p w14:paraId="171D3645">
            <w:pPr>
              <w:jc w:val="center"/>
              <w:rPr>
                <w:rFonts w:hint="eastAsia" w:ascii="宋体" w:hAnsi="宋体" w:eastAsia="宋体" w:cs="宋体"/>
                <w:b w:val="0"/>
                <w:i w:val="0"/>
                <w:iCs w:val="0"/>
                <w:color w:val="000000"/>
                <w:sz w:val="24"/>
                <w:szCs w:val="24"/>
                <w:u w:val="none"/>
              </w:rPr>
            </w:pPr>
          </w:p>
        </w:tc>
        <w:tc>
          <w:tcPr>
            <w:tcW w:w="2040" w:type="dxa"/>
            <w:tcBorders>
              <w:top w:val="single" w:color="BDD6EE" w:themeColor="accent1" w:themeTint="66" w:sz="6" w:space="0"/>
              <w:left w:val="single" w:color="BDD6EE" w:themeColor="accent1" w:themeTint="66" w:sz="6" w:space="0"/>
              <w:bottom w:val="single" w:color="5B9BD5" w:themeColor="accent1" w:sz="6" w:space="0"/>
              <w:right w:val="single" w:color="BDD6EE" w:themeColor="accent1" w:themeTint="66" w:sz="6" w:space="0"/>
            </w:tcBorders>
            <w:shd w:val="clear" w:color="auto" w:fill="EEF5FA" w:themeFill="accent1" w:themeFillTint="19"/>
            <w:vAlign w:val="center"/>
          </w:tcPr>
          <w:p w14:paraId="20261E8D">
            <w:pPr>
              <w:keepNext w:val="0"/>
              <w:keepLines w:val="0"/>
              <w:widowControl/>
              <w:suppressLineNumbers w:val="0"/>
              <w:ind w:left="0" w:leftChars="0"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教师能力提升培训</w:t>
            </w:r>
          </w:p>
        </w:tc>
        <w:tc>
          <w:tcPr>
            <w:tcW w:w="6058" w:type="dxa"/>
            <w:tcBorders>
              <w:top w:val="single" w:color="BDD6EE" w:themeColor="accent1" w:themeTint="66" w:sz="6" w:space="0"/>
              <w:left w:val="single" w:color="BDD6EE" w:themeColor="accent1" w:themeTint="66" w:sz="6" w:space="0"/>
              <w:bottom w:val="single" w:color="5B9BD5" w:themeColor="accent1" w:sz="6" w:space="0"/>
              <w:right w:val="single" w:color="5B9BD5" w:themeColor="accent1" w:sz="6" w:space="0"/>
            </w:tcBorders>
            <w:shd w:val="clear" w:color="auto" w:fill="EEF5FA" w:themeFill="accent1" w:themeFillTint="19"/>
            <w:vAlign w:val="center"/>
          </w:tcPr>
          <w:p w14:paraId="68B26C9D">
            <w:pPr>
              <w:keepNext w:val="0"/>
              <w:keepLines w:val="0"/>
              <w:widowControl/>
              <w:suppressLineNumbers w:val="0"/>
              <w:jc w:val="left"/>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提升团队执行力的六大策略、教师教育语言的使用、设施设备的维修养护、中职学生行为背后的心理需求、员工100%执行力、教师职业礼仪、如何提升团队协作能力、如何合理安排时间与提升工作效率、非暴力沟通、师生沟通技巧等</w:t>
            </w:r>
          </w:p>
        </w:tc>
      </w:tr>
    </w:tbl>
    <w:p w14:paraId="4BA7D0DA">
      <w:pPr>
        <w:pStyle w:val="10"/>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lang w:eastAsia="zh-CN"/>
        </w:rPr>
      </w:pPr>
      <w:r>
        <w:rPr>
          <w:rFonts w:hint="eastAsia" w:ascii="仿宋_GB2312" w:hAnsi="仿宋" w:cs="仿宋"/>
          <w:b w:val="0"/>
          <w:bCs/>
          <w:color w:val="000000" w:themeColor="text1"/>
          <w:kern w:val="2"/>
          <w:sz w:val="32"/>
          <w:szCs w:val="32"/>
          <w:lang w:val="en-US" w:eastAsia="zh-CN" w:bidi="ar-SA"/>
          <w14:textFill>
            <w14:solidFill>
              <w14:schemeClr w14:val="tx1"/>
            </w14:solidFill>
          </w14:textFill>
        </w:rPr>
        <w:drawing>
          <wp:anchor distT="0" distB="0" distL="114300" distR="114300" simplePos="0" relativeHeight="251676672" behindDoc="1" locked="0" layoutInCell="1" allowOverlap="1">
            <wp:simplePos x="0" y="0"/>
            <wp:positionH relativeFrom="column">
              <wp:posOffset>386715</wp:posOffset>
            </wp:positionH>
            <wp:positionV relativeFrom="paragraph">
              <wp:posOffset>227330</wp:posOffset>
            </wp:positionV>
            <wp:extent cx="4984750" cy="3239770"/>
            <wp:effectExtent l="0" t="0" r="6350" b="17780"/>
            <wp:wrapThrough wrapText="bothSides">
              <wp:wrapPolygon>
                <wp:start x="0" y="0"/>
                <wp:lineTo x="0" y="21465"/>
                <wp:lineTo x="21545" y="21465"/>
                <wp:lineTo x="21545" y="0"/>
                <wp:lineTo x="0" y="0"/>
              </wp:wrapPolygon>
            </wp:wrapThrough>
            <wp:docPr id="13" name="图片 13" descr="59c77d9b-b931-417b-a76d-780e760f4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9c77d9b-b931-417b-a76d-780e760f40c0"/>
                    <pic:cNvPicPr>
                      <a:picLocks noChangeAspect="1"/>
                    </pic:cNvPicPr>
                  </pic:nvPicPr>
                  <pic:blipFill>
                    <a:blip r:embed="rId16"/>
                    <a:stretch>
                      <a:fillRect/>
                    </a:stretch>
                  </pic:blipFill>
                  <pic:spPr>
                    <a:xfrm>
                      <a:off x="0" y="0"/>
                      <a:ext cx="4984750" cy="3239770"/>
                    </a:xfrm>
                    <a:prstGeom prst="rect">
                      <a:avLst/>
                    </a:prstGeom>
                  </pic:spPr>
                </pic:pic>
              </a:graphicData>
            </a:graphic>
          </wp:anchor>
        </w:drawing>
      </w:r>
      <w:r>
        <w:t xml:space="preserve">图 </w:t>
      </w:r>
      <w:r>
        <w:fldChar w:fldCharType="begin"/>
      </w:r>
      <w:r>
        <w:instrText xml:space="preserve"> SEQ 图 \* ARABIC </w:instrText>
      </w:r>
      <w:r>
        <w:fldChar w:fldCharType="separate"/>
      </w:r>
      <w:r>
        <w:t>3</w:t>
      </w:r>
      <w:r>
        <w:fldChar w:fldCharType="end"/>
      </w:r>
      <w:bookmarkStart w:id="33" w:name="_Toc12896"/>
      <w:r>
        <w:rPr>
          <w:rFonts w:hint="eastAsia"/>
          <w:lang w:eastAsia="zh-CN"/>
        </w:rPr>
        <w:t>：“职教好课堂”比赛获奖</w:t>
      </w:r>
      <w:bookmarkEnd w:id="33"/>
    </w:p>
    <w:p w14:paraId="43AA5BD4">
      <w:pPr>
        <w:rPr>
          <w:rFonts w:hint="eastAsia"/>
          <w:lang w:val="en-US" w:eastAsia="zh-CN"/>
        </w:rPr>
      </w:pPr>
      <w:r>
        <w:rPr>
          <w:rFonts w:hint="eastAsia" w:ascii="Arial" w:hAnsi="Arial" w:eastAsia="黑体" w:cs="仿宋_GB2312"/>
          <w:kern w:val="2"/>
          <w:sz w:val="24"/>
          <w:szCs w:val="32"/>
          <w:lang w:val="en-US" w:eastAsia="zh-CN"/>
        </w:rPr>
        <w:t>2025年西安市中等职业学校“职教好课堂”比赛中，学校朱巧巧老师（图右三）凭借扎实的教学功底、创新的教学设计与精湛的课堂呈现，历经校级选拔、市级评选等多轮激烈角逐，从众多参赛者中脱颖而出，荣获一等奖。</w:t>
      </w:r>
    </w:p>
    <w:p w14:paraId="12D87E1D">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cs="仿宋"/>
          <w:b w:val="0"/>
          <w:bCs/>
          <w:color w:val="000000" w:themeColor="text1"/>
          <w:kern w:val="2"/>
          <w:sz w:val="32"/>
          <w:szCs w:val="32"/>
          <w:lang w:val="en-US" w:eastAsia="zh-CN" w:bidi="ar-SA"/>
          <w14:textFill>
            <w14:solidFill>
              <w14:schemeClr w14:val="tx1"/>
            </w14:solidFill>
          </w14:textFill>
        </w:rPr>
        <w:t>三是完善教师评价与激励机制。学校构建多元化评价体系，结合学生满意度调查、同行评议、教学督导反馈和绩效考核结果，全面评估教师工作表现。评价结果与教师职称晋升、岗位聘任和绩效奖励挂钩，激发教师工作积极性。每学期组织教师教学能力比赛，评选出一批优秀教师进行表彰，树立教书育人榜样，激励教师扎实锤炼专业本领，努力提升教学水平，努力为学校培养高素质专业化的教师队伍奠定基础。积极组织教师准备2025年西安市中等职业学校教师教学能力比赛、2025年西安市中等职业学校“说专业、说课程”展示交流活动等。</w:t>
      </w:r>
    </w:p>
    <w:p w14:paraId="5BA0E6E4">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四是强化教师队伍结构优化。学校注重教师梯队建设，通过引进高层次人才、培养骨干教师和扶持青年教师成长，形成老中青结合的合理结构。建立师徒结对机制，由资深教师指导新入职教师快速适应教学环境。同时，加强兼职教师管理，聘请行业专家和企业技术能手参与教学，丰富教师队伍来源，提升实践教学能力，确保教师队伍稳定、多元、高效。</w:t>
      </w:r>
    </w:p>
    <w:p w14:paraId="208D8796">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bookmarkStart w:id="34" w:name="_Toc5686"/>
      <w:r>
        <w:rPr>
          <w:rFonts w:hint="eastAsia"/>
        </w:rPr>
        <w:t>2.6贯通培养</w:t>
      </w:r>
      <w:bookmarkEnd w:id="34"/>
    </w:p>
    <w:p w14:paraId="71E395CD">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eastAsia="仿宋_GB2312"/>
          <w:lang w:eastAsia="zh-CN"/>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大力推行中高职衔接的分段式教育模式，构建多元化人才成长立体通道</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，以促进教育资源的高效优化配置与学生的可持续发展</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与铜川职业技术学院、医学高等专科学校等多家高职院校建立了深度紧密的合作关系，通过签署战略合作协议、共享优质教学资源与骨干师资力量，确保合作的长效性与实效性。在此基础上，学校制定了科学详尽的</w:t>
      </w:r>
      <w:r>
        <w:rPr>
          <w:rFonts w:hint="eastAsia" w:ascii="仿宋_GB2312" w:hAnsi="宋体" w:eastAsia="仿宋_GB2312" w:cs="宋体"/>
          <w:color w:val="000000" w:themeColor="text1"/>
          <w:kern w:val="2"/>
          <w:sz w:val="32"/>
          <w:szCs w:val="32"/>
          <w:lang w:val="en-US" w:eastAsia="zh-CN"/>
          <w14:textFill>
            <w14:solidFill>
              <w14:schemeClr w14:val="tx1"/>
            </w14:solidFill>
          </w14:textFill>
        </w:rPr>
        <w:t>3+2康复技术、3+2药学、3+2口腔医学技术</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中高职衔接分段式培养课程体系，该体系涵盖基础理论教学、核心技能实训、岗位实习实践等关键环节，并配套构建了严格规范的质量保障机制</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——包括定期教学评估、动态反馈调整及标准化认证体系，以确保教育过程的规范性与成果的可控性</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通过这种创新教育模式，不仅有效打通了学生的升学上升通道，助力他们从中等职业教育平稳过渡至高等职业教育，更精准满足了学生不同层次的教育发展需求，帮助其更高效、更全面地系统性提升学历层次，显著增强就业核心竞争力，同时为社会输送更多高素质技术技能型人才。</w:t>
      </w:r>
    </w:p>
    <w:p w14:paraId="63A2FA5C">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bookmarkStart w:id="35" w:name="_Toc8962"/>
      <w:r>
        <w:rPr>
          <w:rFonts w:hint="eastAsia"/>
        </w:rPr>
        <w:t>2.7科教融汇</w:t>
      </w:r>
      <w:bookmarkEnd w:id="35"/>
    </w:p>
    <w:p w14:paraId="5189F3C7">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始终坚持以科研与教学深度融合为核心导向，将科研创新视为提升教学质量的关键引擎，着力构建“科研赋能教学、教学反哺科研”的良性生态。在教师科研与成果转化方面，学校完善科研激励机制，鼓励教师积极申报各级各类课题研究，推动科研成果精准转化为教学资源与教学内容——通过将前沿研究案例、行业技术突破、课题实践方法融入课堂教学，让学生直面专业领域核心问题与发展动态，实现“从科研到教学”的高效衔接。  在校企协同与学生参与方面，深化校企协同育人模式，联合行业企业共同开发贴合产业前沿需求的课程体系，确保教学内容与就业市场、行业标准无缝对接</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不仅强化了科研与教学的联动效应，更将教师科研成果转化为育人实效，让学生深度参与科研实践成为人才培养的关键环节，全面提升人才培养的专业性、实践性与创新性</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w:t>
      </w:r>
    </w:p>
    <w:p w14:paraId="5E6E7F76">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bookmarkStart w:id="36" w:name="_Toc8646"/>
      <w:r>
        <w:rPr>
          <w:rFonts w:hint="default"/>
          <w:lang w:val="en-US" w:eastAsia="zh-CN"/>
        </w:rPr>
        <w:t>2.8创新创业</w:t>
      </w:r>
      <w:bookmarkEnd w:id="36"/>
    </w:p>
    <w:p w14:paraId="6D8D8486">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eastAsia="仿宋_GB2312"/>
          <w:lang w:eastAsia="zh-CN"/>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学校</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积极</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响应国家创新驱动发展战略，全面推进创新创业教育改革，致力于培养具备创新精神和实践能力的高素质人才。将创新创业教育融入课程体系，并在就业指导课程中明确加入相关内容；大力推动创新创业实践平台建设，组织开展项目孵化指导等专项工作</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通过系统构建实践育人体系，与企业联合设立创新创业项目基金，为有需要的学生提供创新创业支持，解决创新创业中的难题并制定解决方案</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有效引导学生将专业理论知识与医药健康领域的实践紧密结合，深入推动各类创新实践活动。</w:t>
      </w:r>
    </w:p>
    <w:p w14:paraId="2D5B33FA">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bookmarkStart w:id="37" w:name="_Toc28019"/>
      <w:r>
        <w:rPr>
          <w:rFonts w:hint="eastAsia"/>
        </w:rPr>
        <w:t>2.9技能大赛</w:t>
      </w:r>
      <w:bookmarkEnd w:id="37"/>
    </w:p>
    <w:p w14:paraId="64CD16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学校秉持</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以赛促教、以赛促学</w:t>
      </w:r>
      <w:r>
        <w:rPr>
          <w:rFonts w:hint="eastAsia" w:ascii="仿宋_GB2312" w:hAnsi="仿宋_GB2312" w:cs="仿宋_GB2312"/>
          <w:color w:val="000000" w:themeColor="text1"/>
          <w:sz w:val="32"/>
          <w:szCs w:val="32"/>
          <w:highlight w:val="none"/>
          <w:lang w:val="en-US" w:eastAsia="zh-CN"/>
          <w14:textFill>
            <w14:solidFill>
              <w14:schemeClr w14:val="tx1"/>
            </w14:solidFill>
          </w14:textFill>
        </w:rPr>
        <w:t>的理念，</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积极</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组织教师深入学习技能大赛的各级赛项和赛程，</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并</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大力动员学生踊跃参与。</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文化与专业知识是根基，为此学校</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精心组织知识竞赛：上半年参赛人数</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达</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120人，</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其中</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33人获奖；下半年126人参赛，32人获奖。学校在西安市技能大赛中斩获“职业技能英语”赛项，</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2</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名同学荣获市级三等奖的佳绩。学校高度重视德技智并修，并将技能大赛作为核心。上半年，学校组织了校级技能大赛5个项目，参赛人数达362人，100人获奖；下半年248人参赛，64人获奖。教师</w:t>
      </w:r>
      <w:r>
        <w:rPr>
          <w:rFonts w:hint="eastAsia" w:ascii="仿宋_GB2312" w:hAnsi="仿宋" w:cs="仿宋"/>
          <w:b w:val="0"/>
          <w:bCs/>
          <w:color w:val="000000" w:themeColor="text1"/>
          <w:kern w:val="2"/>
          <w:sz w:val="32"/>
          <w:szCs w:val="32"/>
          <w:lang w:val="en-US" w:eastAsia="zh-CN" w:bidi="ar-SA"/>
          <w14:textFill>
            <w14:solidFill>
              <w14:schemeClr w14:val="tx1"/>
            </w14:solidFill>
          </w14:textFill>
        </w:rPr>
        <w:t>们</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严格遵循省级比赛要求，精心策划了校级药品分析技术和康复技术两项比赛项目，为明年参加省级赛事奠定了坚实基础。</w:t>
      </w:r>
    </w:p>
    <w:p w14:paraId="7950D8EF">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bookmarkStart w:id="38" w:name="_Toc19500"/>
      <w:r>
        <w:rPr>
          <w:rFonts w:hint="default"/>
        </w:rPr>
        <w:t>2.10就业质量</w:t>
      </w:r>
      <w:bookmarkEnd w:id="38"/>
    </w:p>
    <w:p w14:paraId="184EDB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2025届毕业生共计879人，涵盖药剂、药学、康复治疗技术、中医康复技术、口腔修复工艺等5个专业。其中，药剂专业毕业生占比达44.48%，生源地域以陕西省内为主（占比82.93%），性别结构基本均衡。</w:t>
      </w:r>
    </w:p>
    <w:p w14:paraId="7D13A214">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pPr>
    </w:p>
    <w:p w14:paraId="2A3B307C">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t xml:space="preserve">表 </w:t>
      </w:r>
      <w:r>
        <w:rPr>
          <w:rFonts w:hint="eastAsia"/>
          <w:lang w:eastAsia="zh-CN"/>
        </w:rPr>
        <w:t>：2025届毕业生去向分布情况</w:t>
      </w:r>
    </w:p>
    <w:p w14:paraId="72CAB0E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方正仿宋_GB2312" w:hAnsi="方正仿宋_GB2312" w:eastAsia="方正仿宋_GB2312" w:cs="方正仿宋_GB2312"/>
          <w:color w:val="000000"/>
          <w:sz w:val="32"/>
          <w:szCs w:val="32"/>
          <w:vertAlign w:val="baseline"/>
          <w:lang w:val="en-US" w:eastAsia="zh-CN"/>
        </w:rPr>
        <w:drawing>
          <wp:anchor distT="0" distB="0" distL="114300" distR="114300" simplePos="0" relativeHeight="251673600" behindDoc="0" locked="0" layoutInCell="1" allowOverlap="1">
            <wp:simplePos x="0" y="0"/>
            <wp:positionH relativeFrom="column">
              <wp:posOffset>163830</wp:posOffset>
            </wp:positionH>
            <wp:positionV relativeFrom="paragraph">
              <wp:posOffset>50165</wp:posOffset>
            </wp:positionV>
            <wp:extent cx="5370830" cy="3663950"/>
            <wp:effectExtent l="5080" t="4445" r="15240" b="8255"/>
            <wp:wrapSquare wrapText="bothSides"/>
            <wp:docPr id="3" name="图表 3" descr="7b0a202020202263686172745265734964223a2022323034373538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60E15A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就业率：2025 届毕业生共 879 人，就业率达 95.11%，其中签订就业协议或劳动合同就业 161 人，升学 675 人（普通高考 2 人、职教高考 326 人、贯通培养 346 人、出国出境 1 人），未就业率仅 4.89%（不就业拟升学 3 人、其他暂不就业 4 人）。</w:t>
      </w:r>
    </w:p>
    <w:p w14:paraId="04C3F9C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对口就业率：就业毕业生中，对口就业人数 156 人，对口就业率高达 96.89%，其中药剂专业对口就业率 98.94%，中医康复技术专业 95.65%，口腔修复工艺专业 90.48%，毕业生专业技能与岗位需求匹配度高。</w:t>
      </w:r>
    </w:p>
    <w:p w14:paraId="39CF502A">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pPr>
    </w:p>
    <w:p w14:paraId="3F62AA8A">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pPr>
    </w:p>
    <w:p w14:paraId="0550A997">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t xml:space="preserve">表 </w:t>
      </w:r>
      <w:bookmarkStart w:id="39" w:name="_Toc4475"/>
      <w:r>
        <w:rPr>
          <w:rFonts w:hint="eastAsia"/>
          <w:lang w:eastAsia="zh-CN"/>
        </w:rPr>
        <w:t>：2025年就业生去向区域分布情况</w:t>
      </w:r>
      <w:bookmarkEnd w:id="39"/>
    </w:p>
    <w:p w14:paraId="34DD539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方正仿宋_GB2312" w:hAnsi="方正仿宋_GB2312" w:eastAsia="方正仿宋_GB2312" w:cs="方正仿宋_GB2312"/>
          <w:color w:val="000000"/>
          <w:sz w:val="32"/>
          <w:szCs w:val="32"/>
          <w:vertAlign w:val="baseline"/>
          <w:lang w:val="en-US" w:eastAsia="zh-CN"/>
        </w:rPr>
        <w:drawing>
          <wp:anchor distT="0" distB="0" distL="114300" distR="114300" simplePos="0" relativeHeight="251672576" behindDoc="0" locked="0" layoutInCell="1" allowOverlap="1">
            <wp:simplePos x="0" y="0"/>
            <wp:positionH relativeFrom="column">
              <wp:posOffset>147955</wp:posOffset>
            </wp:positionH>
            <wp:positionV relativeFrom="paragraph">
              <wp:posOffset>104140</wp:posOffset>
            </wp:positionV>
            <wp:extent cx="5370830" cy="3663950"/>
            <wp:effectExtent l="5080" t="4445" r="15240" b="8255"/>
            <wp:wrapSquare wrapText="bothSides"/>
            <wp:docPr id="2" name="图表 2" descr="7b0a202020202263686172745265734964223a2022323034373538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薪资水平：就业毕业生平均月薪3346.38元，其中中医康复技术专业平均月薪3650元，药剂专业3246.28元，口腔修复工艺专业 3142.86 元，薪资待遇与行业水平持平且具备上升空间。</w:t>
      </w:r>
    </w:p>
    <w:p w14:paraId="6DB763BD">
      <w:pPr>
        <w:pStyle w:val="10"/>
        <w:spacing w:line="560" w:lineRule="exact"/>
        <w:ind w:firstLine="480" w:firstLineChars="200"/>
        <w:jc w:val="cente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t xml:space="preserve">表 </w:t>
      </w:r>
      <w:r>
        <w:fldChar w:fldCharType="begin"/>
      </w:r>
      <w:r>
        <w:instrText xml:space="preserve"> SEQ 表 \* ARABIC </w:instrText>
      </w:r>
      <w:r>
        <w:fldChar w:fldCharType="separate"/>
      </w:r>
      <w:r>
        <w:t>7</w:t>
      </w:r>
      <w:r>
        <w:fldChar w:fldCharType="end"/>
      </w:r>
      <w:bookmarkStart w:id="40" w:name="_Toc23363"/>
      <w:r>
        <w:rPr>
          <w:rFonts w:hint="eastAsia"/>
          <w:lang w:eastAsia="zh-CN"/>
        </w:rPr>
        <w:t>：2025年毕业生各专业平均薪资情况</w:t>
      </w:r>
      <w:bookmarkEnd w:id="40"/>
    </w:p>
    <w:tbl>
      <w:tblPr>
        <w:tblStyle w:val="22"/>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9"/>
        <w:gridCol w:w="2032"/>
        <w:gridCol w:w="3278"/>
      </w:tblGrid>
      <w:tr w14:paraId="35AF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2849" w:type="dxa"/>
            <w:tcBorders>
              <w:top w:val="nil"/>
              <w:left w:val="nil"/>
              <w:bottom w:val="nil"/>
              <w:right w:val="nil"/>
            </w:tcBorders>
            <w:shd w:val="clear" w:color="auto" w:fill="5B9BD5" w:themeFill="accent1"/>
            <w:vAlign w:val="center"/>
          </w:tcPr>
          <w:p w14:paraId="74ABFF0E">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eastAsia" w:ascii="方正仿宋_GB2312" w:hAnsi="方正仿宋_GB2312" w:eastAsia="方正仿宋_GB2312" w:cs="方正仿宋_GB2312"/>
                <w:b/>
                <w:i w:val="0"/>
                <w:color w:val="FFFFFF"/>
                <w:sz w:val="24"/>
                <w:szCs w:val="24"/>
                <w:vertAlign w:val="baseline"/>
                <w:lang w:val="en-US" w:eastAsia="zh-CN"/>
              </w:rPr>
            </w:pPr>
            <w:r>
              <w:rPr>
                <w:rFonts w:hint="eastAsia" w:ascii="方正仿宋_GB2312" w:hAnsi="方正仿宋_GB2312" w:eastAsia="方正仿宋_GB2312" w:cs="方正仿宋_GB2312"/>
                <w:b/>
                <w:i w:val="0"/>
                <w:color w:val="FFFFFF"/>
                <w:sz w:val="24"/>
                <w:szCs w:val="24"/>
                <w:vertAlign w:val="baseline"/>
                <w:lang w:val="en-US" w:eastAsia="zh-CN"/>
              </w:rPr>
              <w:t>专业名称</w:t>
            </w:r>
          </w:p>
        </w:tc>
        <w:tc>
          <w:tcPr>
            <w:tcW w:w="2032" w:type="dxa"/>
            <w:tcBorders>
              <w:top w:val="nil"/>
              <w:left w:val="nil"/>
              <w:bottom w:val="nil"/>
              <w:right w:val="nil"/>
            </w:tcBorders>
            <w:shd w:val="clear" w:color="auto" w:fill="5B9BD5" w:themeFill="accent1"/>
            <w:vAlign w:val="center"/>
          </w:tcPr>
          <w:p w14:paraId="3D14FE42">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i w:val="0"/>
                <w:color w:val="FFFFFF"/>
                <w:kern w:val="2"/>
                <w:sz w:val="24"/>
                <w:szCs w:val="24"/>
                <w:vertAlign w:val="baseline"/>
                <w:lang w:val="en-US" w:eastAsia="zh-CN" w:bidi="ar-SA"/>
              </w:rPr>
            </w:pPr>
            <w:r>
              <w:rPr>
                <w:rFonts w:hint="eastAsia" w:ascii="方正仿宋_GB2312" w:hAnsi="方正仿宋_GB2312" w:eastAsia="方正仿宋_GB2312" w:cs="方正仿宋_GB2312"/>
                <w:b/>
                <w:i w:val="0"/>
                <w:color w:val="FFFFFF"/>
                <w:kern w:val="2"/>
                <w:sz w:val="24"/>
                <w:szCs w:val="24"/>
                <w:vertAlign w:val="baseline"/>
                <w:lang w:val="en-US" w:eastAsia="zh-CN" w:bidi="ar-SA"/>
              </w:rPr>
              <w:t>就业人数</w:t>
            </w:r>
          </w:p>
        </w:tc>
        <w:tc>
          <w:tcPr>
            <w:tcW w:w="3278" w:type="dxa"/>
            <w:tcBorders>
              <w:top w:val="nil"/>
              <w:left w:val="nil"/>
              <w:bottom w:val="nil"/>
              <w:right w:val="nil"/>
            </w:tcBorders>
            <w:shd w:val="clear" w:color="auto" w:fill="5B9BD5" w:themeFill="accent1"/>
            <w:vAlign w:val="center"/>
          </w:tcPr>
          <w:p w14:paraId="783CDF0A">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i w:val="0"/>
                <w:color w:val="FFFFFF"/>
                <w:sz w:val="24"/>
                <w:szCs w:val="24"/>
                <w:vertAlign w:val="baseline"/>
                <w:lang w:val="en-US" w:eastAsia="zh-CN"/>
              </w:rPr>
            </w:pPr>
            <w:r>
              <w:rPr>
                <w:rFonts w:hint="eastAsia" w:ascii="方正仿宋_GB2312" w:hAnsi="方正仿宋_GB2312" w:eastAsia="方正仿宋_GB2312" w:cs="方正仿宋_GB2312"/>
                <w:b/>
                <w:i w:val="0"/>
                <w:color w:val="FFFFFF"/>
                <w:sz w:val="24"/>
                <w:szCs w:val="24"/>
                <w:vertAlign w:val="baseline"/>
                <w:lang w:val="en-US" w:eastAsia="zh-CN"/>
              </w:rPr>
              <w:t>平均月薪（元）</w:t>
            </w:r>
          </w:p>
        </w:tc>
      </w:tr>
      <w:tr w14:paraId="2090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849" w:type="dxa"/>
            <w:tcBorders>
              <w:top w:val="nil"/>
              <w:left w:val="nil"/>
              <w:bottom w:val="single" w:color="BDD6EE" w:themeColor="accent1" w:themeTint="66" w:sz="6" w:space="0"/>
              <w:right w:val="nil"/>
            </w:tcBorders>
            <w:shd w:val="clear" w:color="auto" w:fill="FFFFFF"/>
            <w:vAlign w:val="center"/>
          </w:tcPr>
          <w:p w14:paraId="10D2C930">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药学</w:t>
            </w:r>
          </w:p>
        </w:tc>
        <w:tc>
          <w:tcPr>
            <w:tcW w:w="2032" w:type="dxa"/>
            <w:tcBorders>
              <w:top w:val="nil"/>
              <w:left w:val="nil"/>
              <w:bottom w:val="single" w:color="BDD6EE" w:themeColor="accent1" w:themeTint="66" w:sz="6" w:space="0"/>
              <w:right w:val="nil"/>
            </w:tcBorders>
            <w:shd w:val="clear" w:color="auto" w:fill="FFFFFF"/>
            <w:vAlign w:val="center"/>
          </w:tcPr>
          <w:p w14:paraId="4FD52463">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w:t>
            </w:r>
          </w:p>
        </w:tc>
        <w:tc>
          <w:tcPr>
            <w:tcW w:w="3278" w:type="dxa"/>
            <w:tcBorders>
              <w:top w:val="nil"/>
              <w:left w:val="nil"/>
              <w:bottom w:val="single" w:color="BDD6EE" w:themeColor="accent1" w:themeTint="66" w:sz="6" w:space="0"/>
              <w:right w:val="nil"/>
            </w:tcBorders>
            <w:shd w:val="clear" w:color="auto" w:fill="FFFFFF"/>
            <w:vAlign w:val="center"/>
          </w:tcPr>
          <w:p w14:paraId="41349AE6">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kern w:val="2"/>
                <w:sz w:val="24"/>
                <w:szCs w:val="24"/>
                <w:vertAlign w:val="baseline"/>
                <w:lang w:val="en-US" w:eastAsia="zh-CN" w:bidi="ar-SA"/>
              </w:rPr>
            </w:pPr>
            <w:r>
              <w:rPr>
                <w:rFonts w:hint="eastAsia" w:ascii="方正仿宋_GB2312" w:hAnsi="方正仿宋_GB2312" w:eastAsia="方正仿宋_GB2312" w:cs="方正仿宋_GB2312"/>
                <w:b w:val="0"/>
                <w:i w:val="0"/>
                <w:color w:val="000000"/>
                <w:kern w:val="2"/>
                <w:sz w:val="24"/>
                <w:szCs w:val="24"/>
                <w:vertAlign w:val="baseline"/>
                <w:lang w:val="en-US" w:eastAsia="zh-CN" w:bidi="ar-SA"/>
              </w:rPr>
              <w:t>/</w:t>
            </w:r>
          </w:p>
        </w:tc>
      </w:tr>
      <w:tr w14:paraId="449D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9"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0F58B69D">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康复治疗技术</w:t>
            </w:r>
          </w:p>
        </w:tc>
        <w:tc>
          <w:tcPr>
            <w:tcW w:w="2032"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7BB7D3D7">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w:t>
            </w:r>
          </w:p>
        </w:tc>
        <w:tc>
          <w:tcPr>
            <w:tcW w:w="3278"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5CADE4BF">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kern w:val="2"/>
                <w:sz w:val="24"/>
                <w:szCs w:val="24"/>
                <w:vertAlign w:val="baseline"/>
                <w:lang w:val="en-US" w:eastAsia="zh-CN" w:bidi="ar-SA"/>
              </w:rPr>
            </w:pPr>
            <w:r>
              <w:rPr>
                <w:rFonts w:hint="eastAsia" w:ascii="方正仿宋_GB2312" w:hAnsi="方正仿宋_GB2312" w:eastAsia="方正仿宋_GB2312" w:cs="方正仿宋_GB2312"/>
                <w:b w:val="0"/>
                <w:i w:val="0"/>
                <w:color w:val="000000"/>
                <w:kern w:val="2"/>
                <w:sz w:val="24"/>
                <w:szCs w:val="24"/>
                <w:vertAlign w:val="baseline"/>
                <w:lang w:val="en-US" w:eastAsia="zh-CN" w:bidi="ar-SA"/>
              </w:rPr>
              <w:t>/</w:t>
            </w:r>
          </w:p>
        </w:tc>
      </w:tr>
      <w:tr w14:paraId="1137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9"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3361E8CC">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eastAsia"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中医养生保健</w:t>
            </w:r>
          </w:p>
        </w:tc>
        <w:tc>
          <w:tcPr>
            <w:tcW w:w="2032"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23035A6E">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eastAsia" w:ascii="方正仿宋_GB2312" w:hAnsi="方正仿宋_GB2312" w:eastAsia="方正仿宋_GB2312" w:cs="方正仿宋_GB2312"/>
                <w:b w:val="0"/>
                <w:i w:val="0"/>
                <w:color w:val="000000"/>
                <w:kern w:val="2"/>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w:t>
            </w:r>
          </w:p>
        </w:tc>
        <w:tc>
          <w:tcPr>
            <w:tcW w:w="3278"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70C76422">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eastAsia" w:ascii="方正仿宋_GB2312" w:hAnsi="方正仿宋_GB2312" w:eastAsia="方正仿宋_GB2312" w:cs="方正仿宋_GB2312"/>
                <w:b w:val="0"/>
                <w:i w:val="0"/>
                <w:color w:val="000000"/>
                <w:kern w:val="2"/>
                <w:sz w:val="24"/>
                <w:szCs w:val="24"/>
                <w:vertAlign w:val="baseline"/>
                <w:lang w:val="en-US" w:eastAsia="zh-CN" w:bidi="ar-SA"/>
              </w:rPr>
            </w:pPr>
            <w:r>
              <w:rPr>
                <w:rFonts w:hint="eastAsia" w:ascii="方正仿宋_GB2312" w:hAnsi="方正仿宋_GB2312" w:eastAsia="方正仿宋_GB2312" w:cs="方正仿宋_GB2312"/>
                <w:b w:val="0"/>
                <w:i w:val="0"/>
                <w:color w:val="000000"/>
                <w:kern w:val="2"/>
                <w:sz w:val="24"/>
                <w:szCs w:val="24"/>
                <w:vertAlign w:val="baseline"/>
                <w:lang w:val="en-US" w:eastAsia="zh-CN" w:bidi="ar-SA"/>
              </w:rPr>
              <w:t>/</w:t>
            </w:r>
          </w:p>
        </w:tc>
      </w:tr>
      <w:tr w14:paraId="0807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9"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1D99134D">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药剂</w:t>
            </w:r>
          </w:p>
        </w:tc>
        <w:tc>
          <w:tcPr>
            <w:tcW w:w="2032"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4B72FBB7">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94</w:t>
            </w:r>
          </w:p>
        </w:tc>
        <w:tc>
          <w:tcPr>
            <w:tcW w:w="3278"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3C6FFD98">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仿宋" w:eastAsia="方正仿宋_GB2312" w:cs="仿宋"/>
                <w:b w:val="0"/>
                <w:i w:val="0"/>
                <w:color w:val="000000"/>
                <w:sz w:val="24"/>
                <w:szCs w:val="24"/>
                <w:lang w:val="en-US" w:eastAsia="zh-CN"/>
              </w:rPr>
              <w:t>3246.28</w:t>
            </w:r>
          </w:p>
        </w:tc>
      </w:tr>
      <w:tr w14:paraId="6C5F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9"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321C30D6">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中医康复技术</w:t>
            </w:r>
          </w:p>
        </w:tc>
        <w:tc>
          <w:tcPr>
            <w:tcW w:w="2032"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673FA286">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kern w:val="2"/>
                <w:sz w:val="24"/>
                <w:szCs w:val="24"/>
                <w:vertAlign w:val="baseline"/>
                <w:lang w:val="en-US" w:eastAsia="zh-CN" w:bidi="ar-SA"/>
              </w:rPr>
            </w:pPr>
            <w:r>
              <w:rPr>
                <w:rFonts w:hint="eastAsia" w:ascii="方正仿宋_GB2312" w:hAnsi="方正仿宋_GB2312" w:eastAsia="方正仿宋_GB2312" w:cs="方正仿宋_GB2312"/>
                <w:b w:val="0"/>
                <w:i w:val="0"/>
                <w:color w:val="000000"/>
                <w:kern w:val="2"/>
                <w:sz w:val="24"/>
                <w:szCs w:val="24"/>
                <w:vertAlign w:val="baseline"/>
                <w:lang w:val="en-US" w:eastAsia="zh-CN" w:bidi="ar-SA"/>
              </w:rPr>
              <w:t>46</w:t>
            </w:r>
          </w:p>
        </w:tc>
        <w:tc>
          <w:tcPr>
            <w:tcW w:w="3278"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01D62D50">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仿宋" w:eastAsia="方正仿宋_GB2312" w:cs="仿宋"/>
                <w:b w:val="0"/>
                <w:i w:val="0"/>
                <w:color w:val="000000"/>
                <w:sz w:val="24"/>
                <w:szCs w:val="24"/>
                <w:lang w:val="en-US" w:eastAsia="zh-CN"/>
              </w:rPr>
              <w:t>3650</w:t>
            </w:r>
          </w:p>
        </w:tc>
      </w:tr>
      <w:tr w14:paraId="7845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849"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696F4C95">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方正仿宋_GB2312" w:eastAsia="方正仿宋_GB2312" w:cs="方正仿宋_GB2312"/>
                <w:b w:val="0"/>
                <w:i w:val="0"/>
                <w:color w:val="000000"/>
                <w:sz w:val="24"/>
                <w:szCs w:val="24"/>
                <w:vertAlign w:val="baseline"/>
                <w:lang w:val="en-US" w:eastAsia="zh-CN"/>
              </w:rPr>
              <w:t>口腔修复工艺</w:t>
            </w:r>
          </w:p>
        </w:tc>
        <w:tc>
          <w:tcPr>
            <w:tcW w:w="2032"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02401B13">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kern w:val="2"/>
                <w:sz w:val="24"/>
                <w:szCs w:val="24"/>
                <w:vertAlign w:val="baseline"/>
                <w:lang w:val="en-US" w:eastAsia="zh-CN" w:bidi="ar-SA"/>
              </w:rPr>
            </w:pPr>
            <w:r>
              <w:rPr>
                <w:rFonts w:hint="eastAsia" w:ascii="方正仿宋_GB2312" w:hAnsi="方正仿宋_GB2312" w:eastAsia="方正仿宋_GB2312" w:cs="方正仿宋_GB2312"/>
                <w:b w:val="0"/>
                <w:i w:val="0"/>
                <w:color w:val="000000"/>
                <w:kern w:val="2"/>
                <w:sz w:val="24"/>
                <w:szCs w:val="24"/>
                <w:vertAlign w:val="baseline"/>
                <w:lang w:val="en-US" w:eastAsia="zh-CN" w:bidi="ar-SA"/>
              </w:rPr>
              <w:t>21</w:t>
            </w:r>
          </w:p>
        </w:tc>
        <w:tc>
          <w:tcPr>
            <w:tcW w:w="3278" w:type="dxa"/>
            <w:tcBorders>
              <w:top w:val="single" w:color="BDD6EE" w:themeColor="accent1" w:themeTint="66" w:sz="6" w:space="0"/>
              <w:left w:val="nil"/>
              <w:bottom w:val="single" w:color="BDD6EE" w:themeColor="accent1" w:themeTint="66" w:sz="6" w:space="0"/>
              <w:right w:val="nil"/>
            </w:tcBorders>
            <w:shd w:val="clear" w:color="auto" w:fill="FFFFFF"/>
            <w:vAlign w:val="center"/>
          </w:tcPr>
          <w:p w14:paraId="399D02B8">
            <w:pPr>
              <w:keepNext w:val="0"/>
              <w:keepLines w:val="0"/>
              <w:pageBreakBefore w:val="0"/>
              <w:numPr>
                <w:ilvl w:val="0"/>
                <w:numId w:val="0"/>
              </w:numPr>
              <w:kinsoku/>
              <w:overflowPunct/>
              <w:topLinePunct w:val="0"/>
              <w:bidi w:val="0"/>
              <w:snapToGrid w:val="0"/>
              <w:spacing w:line="240" w:lineRule="auto"/>
              <w:ind w:left="0" w:leftChars="0" w:right="0" w:rightChars="0" w:firstLine="0" w:firstLineChars="0"/>
              <w:jc w:val="center"/>
              <w:textAlignment w:val="auto"/>
              <w:rPr>
                <w:rFonts w:hint="default" w:ascii="方正仿宋_GB2312" w:hAnsi="方正仿宋_GB2312" w:eastAsia="方正仿宋_GB2312" w:cs="方正仿宋_GB2312"/>
                <w:b w:val="0"/>
                <w:i w:val="0"/>
                <w:color w:val="000000"/>
                <w:sz w:val="24"/>
                <w:szCs w:val="24"/>
                <w:vertAlign w:val="baseline"/>
                <w:lang w:val="en-US" w:eastAsia="zh-CN"/>
              </w:rPr>
            </w:pPr>
            <w:r>
              <w:rPr>
                <w:rFonts w:hint="eastAsia" w:ascii="方正仿宋_GB2312" w:hAnsi="仿宋" w:eastAsia="方正仿宋_GB2312" w:cs="仿宋"/>
                <w:b w:val="0"/>
                <w:i w:val="0"/>
                <w:color w:val="000000"/>
                <w:sz w:val="24"/>
                <w:szCs w:val="24"/>
                <w:lang w:val="en-US" w:eastAsia="zh-CN"/>
              </w:rPr>
              <w:t>3142.86</w:t>
            </w:r>
          </w:p>
        </w:tc>
      </w:tr>
    </w:tbl>
    <w:p w14:paraId="37870F2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满意度评价：问卷调查显示，毕业生对就业安置工作“很满意”占 36%、“满意”占42%；对企业“很满意”占36%、“满意”占32%；对实习岗位“很满意”占22%</w:t>
      </w:r>
      <w:r>
        <w:rPr>
          <w:rFonts w:hint="eastAsia" w:ascii="仿宋_GB2312" w:hAnsi="仿宋" w:eastAsia="仿宋_GB2312" w:cs="仿宋"/>
          <w:b w:val="0"/>
          <w:bCs/>
          <w:color w:val="000000" w:themeColor="text1"/>
          <w:kern w:val="2"/>
          <w:sz w:val="32"/>
          <w:szCs w:val="32"/>
          <w:lang w:val="en-US" w:eastAsia="zh-CN" w:bidi="ar-SA"/>
          <w14:textFill>
            <w14:solidFill>
              <w14:schemeClr w14:val="tx1"/>
            </w14:solidFill>
          </w14:textFill>
        </w:rPr>
        <w:t>、</w:t>
      </w: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“满意”占36%；对薪资待遇“很满意”占54%、“满意”占24%，整体满意度较高。</w:t>
      </w:r>
    </w:p>
    <w:p w14:paraId="6510D7D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2025 届毕业生 95.11% 的高就业率、96.89% 的对口就业率及高满意度，充分印证学校人才培养与社会需求高度契合。879 名毕业生中，76.79% 的升学率（药学、康复治疗技术专业达 100%），适配了社会对医药行业高学历人才的需求增长，也体现学校升学服务的扎实成效。</w:t>
      </w:r>
    </w:p>
    <w:p w14:paraId="072731C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对口就业方面，药剂、中医康复技术等专业对口率均超 90%，凸显专业设置紧扣医药卫生行业紧缺领域，教学内容与岗位实操标准精准对接，实现“学以致用”。就业毕业生平均月薪 3346.38元，与行业水平持平且有上升空间，叠加毕业生对就业安置、企业、薪资等维度“满意”以上占比超 60%，反映培养质量获得学生与企业双重认可。</w:t>
      </w:r>
    </w:p>
    <w:p w14:paraId="67F9873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pPr>
      <w:r>
        <w:rPr>
          <w:rFonts w:hint="default" w:ascii="仿宋_GB2312" w:hAnsi="仿宋" w:eastAsia="仿宋_GB2312" w:cs="仿宋"/>
          <w:b w:val="0"/>
          <w:bCs/>
          <w:color w:val="000000" w:themeColor="text1"/>
          <w:kern w:val="2"/>
          <w:sz w:val="32"/>
          <w:szCs w:val="32"/>
          <w:lang w:val="en-US" w:eastAsia="zh-CN" w:bidi="ar-SA"/>
          <w14:textFill>
            <w14:solidFill>
              <w14:schemeClr w14:val="tx1"/>
            </w14:solidFill>
          </w14:textFill>
        </w:rPr>
        <w:t>学校“精品型、就业型”培养模式精准对接行业需求与学生发展诉求，实现了人才供给与社会需求的高效匹配。</w:t>
      </w:r>
    </w:p>
    <w:p w14:paraId="2DCCEC78">
      <w:pPr>
        <w:pStyle w:val="10"/>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eastAsia="仿宋_GB2312"/>
          <w:sz w:val="28"/>
          <w:szCs w:val="36"/>
          <w:lang w:val="en-US" w:eastAsia="zh-CN"/>
        </w:rPr>
      </w:pPr>
      <w:r>
        <w:rPr>
          <w:sz w:val="28"/>
          <w:szCs w:val="36"/>
        </w:rPr>
        <w:t xml:space="preserve">案例 </w:t>
      </w:r>
      <w:r>
        <w:rPr>
          <w:sz w:val="28"/>
          <w:szCs w:val="36"/>
        </w:rPr>
        <w:fldChar w:fldCharType="begin"/>
      </w:r>
      <w:r>
        <w:rPr>
          <w:sz w:val="28"/>
          <w:szCs w:val="36"/>
        </w:rPr>
        <w:instrText xml:space="preserve"> SEQ 案例 \* ARABIC </w:instrText>
      </w:r>
      <w:r>
        <w:rPr>
          <w:sz w:val="28"/>
          <w:szCs w:val="36"/>
        </w:rPr>
        <w:fldChar w:fldCharType="separate"/>
      </w:r>
      <w:r>
        <w:rPr>
          <w:sz w:val="28"/>
          <w:szCs w:val="36"/>
        </w:rPr>
        <w:t>1</w:t>
      </w:r>
      <w:r>
        <w:rPr>
          <w:sz w:val="28"/>
          <w:szCs w:val="36"/>
        </w:rPr>
        <w:fldChar w:fldCharType="end"/>
      </w:r>
      <w:bookmarkStart w:id="41" w:name="_Toc25909"/>
      <w:r>
        <w:rPr>
          <w:rFonts w:hint="eastAsia"/>
          <w:sz w:val="28"/>
          <w:szCs w:val="36"/>
          <w:lang w:eastAsia="zh-CN"/>
        </w:rPr>
        <w:t>：2-1校企合作育英才，质检岗位展风采——张金环</w:t>
      </w:r>
      <w:bookmarkEnd w:id="41"/>
    </w:p>
    <w:p w14:paraId="4E272265">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张金环，药剂学专业2019届毕业生，现就职于北京悦康药业集团股份有限公司。2018年5月，她通过学校与企业合作搭建的平台，成功踏入悦康药业开启实习生涯。在企业导师与学校教师组成的“双导师”团队悉心指导下，她迅速掌握药品质检的核心流程与关键技能，以扎实的专业功底和灵活的应变能力，充分彰显了卓越的实践操作水平与极强的职业适应性。</w:t>
      </w:r>
    </w:p>
    <w:p w14:paraId="10B86DC8">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default" w:ascii="方正仿宋_GB2312" w:hAnsi="方正仿宋_GB2312" w:eastAsia="方正仿宋_GB2312" w:cs="方正仿宋_GB2312"/>
          <w:sz w:val="32"/>
          <w:szCs w:val="32"/>
          <w:lang w:val="en-US" w:eastAsia="zh-CN"/>
        </w:rPr>
        <w:drawing>
          <wp:anchor distT="0" distB="0" distL="114300" distR="114300" simplePos="0" relativeHeight="251675648" behindDoc="0" locked="0" layoutInCell="1" allowOverlap="1">
            <wp:simplePos x="0" y="0"/>
            <wp:positionH relativeFrom="column">
              <wp:posOffset>66675</wp:posOffset>
            </wp:positionH>
            <wp:positionV relativeFrom="paragraph">
              <wp:posOffset>934720</wp:posOffset>
            </wp:positionV>
            <wp:extent cx="1922780" cy="2853055"/>
            <wp:effectExtent l="0" t="0" r="1270" b="4445"/>
            <wp:wrapSquare wrapText="bothSides"/>
            <wp:docPr id="11" name="图片 11" descr="张金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张金环"/>
                    <pic:cNvPicPr>
                      <a:picLocks noChangeAspect="1"/>
                    </pic:cNvPicPr>
                  </pic:nvPicPr>
                  <pic:blipFill>
                    <a:blip r:embed="rId19"/>
                    <a:srcRect t="20405"/>
                    <a:stretch>
                      <a:fillRect/>
                    </a:stretch>
                  </pic:blipFill>
                  <pic:spPr>
                    <a:xfrm>
                      <a:off x="0" y="0"/>
                      <a:ext cx="1922780" cy="2853055"/>
                    </a:xfrm>
                    <a:prstGeom prst="rect">
                      <a:avLst/>
                    </a:prstGeom>
                  </pic:spPr>
                </pic:pic>
              </a:graphicData>
            </a:graphic>
          </wp:anchor>
        </w:drawing>
      </w:r>
      <w:r>
        <w:rPr>
          <w:rFonts w:hint="eastAsia"/>
          <w:lang w:val="en-US" w:eastAsia="zh-CN"/>
        </w:rPr>
        <w:t>2019年正式入职后，她从实习化验员起步，凭借不懈努力稳步成长，如今已成为质检部门的核心骨干，能够独立承担多项关键检验任务。目前，她的月薪稳定在9000到10000元之间，还能享受免费食宿、班车接送等贴心福利，真正实现了高质量就业。工作之余，她始终敏锐关注行业前沿技术，主动考取相关职业资格证书，积极参与公司质量管控体系的优化升级，为提升产品质量贡献了重要力量。</w:t>
      </w:r>
    </w:p>
    <w:p w14:paraId="594F48BB">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张金环的成长轨迹，生动印证了学校“校企合作、实践育人”培养模式的显著成效。这一模式下培养的毕业生，凭借扎实的专业基础、良好的职业素养和出色的学习能力，能够顺利实现高质量就业与职业发展的稳步提升。该培养模式具有较强的可复制性与推广价值，通过深化校企实习合作、强化专业技能实训、培育综合职业素养等一系列举措，为更多毕业生铺就了通往职场的广阔道路。</w:t>
      </w:r>
    </w:p>
    <w:p w14:paraId="737005D2">
      <w:pPr>
        <w:pStyle w:val="2"/>
        <w:keepNext w:val="0"/>
        <w:keepLines w:val="0"/>
        <w:pageBreakBefore w:val="0"/>
        <w:widowControl w:val="0"/>
        <w:kinsoku/>
        <w:wordWrap/>
        <w:overflowPunct/>
        <w:topLinePunct w:val="0"/>
        <w:autoSpaceDE/>
        <w:autoSpaceDN/>
        <w:bidi w:val="0"/>
        <w:adjustRightInd/>
        <w:snapToGrid/>
        <w:spacing w:line="560" w:lineRule="exact"/>
        <w:ind w:left="640" w:leftChars="200" w:firstLine="0" w:firstLineChars="0"/>
        <w:textAlignment w:val="auto"/>
        <w:rPr>
          <w:rFonts w:hint="default" w:ascii="Times New Roman" w:hAnsi="Times New Roman" w:eastAsia="黑体" w:cs="Times New Roman"/>
          <w:color w:val="000000" w:themeColor="text1"/>
          <w:szCs w:val="32"/>
          <w14:textFill>
            <w14:solidFill>
              <w14:schemeClr w14:val="tx1"/>
            </w14:solidFill>
          </w14:textFill>
        </w:rPr>
      </w:pPr>
      <w:bookmarkStart w:id="42" w:name="_Toc23986"/>
      <w:r>
        <w:rPr>
          <w:rFonts w:hint="default"/>
          <w:color w:val="000000" w:themeColor="text1"/>
          <w14:textFill>
            <w14:solidFill>
              <w14:schemeClr w14:val="tx1"/>
            </w14:solidFill>
          </w14:textFill>
        </w:rPr>
        <w:t>3.服务贡献</w:t>
      </w:r>
      <w:bookmarkEnd w:id="42"/>
    </w:p>
    <w:p w14:paraId="771FBD3D">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43" w:name="_Toc1856"/>
      <w:r>
        <w:rPr>
          <w:rFonts w:hint="default"/>
          <w:color w:val="000000" w:themeColor="text1"/>
          <w14:textFill>
            <w14:solidFill>
              <w14:schemeClr w14:val="tx1"/>
            </w14:solidFill>
          </w14:textFill>
        </w:rPr>
        <w:t>3.1服务行业企业</w:t>
      </w:r>
      <w:bookmarkEnd w:id="43"/>
    </w:p>
    <w:p w14:paraId="11F688B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lang w:val="en-US" w:eastAsia="zh-CN"/>
        </w:rPr>
      </w:pPr>
      <w:r>
        <w:rPr>
          <w:rFonts w:hint="eastAsia"/>
          <w:lang w:val="en-US" w:eastAsia="zh-CN"/>
        </w:rPr>
        <w:t>充分发挥专业优势，紧密对接医药健康产业发展需求，为行业企业输送大批高素质技术技能人才。学校与杭州奥泰生物技术股份有限公司、北京九州通医药有限公司、陕西海川医药有限公司等多家知名医药健康企业建立长期稳定合作关系，搭建实习就业基地20余个，每年为企业输送专业技能人才300余人，覆盖药品生产、质量管理、市场营销、医疗器械维护等多个岗位，有效缓解了行业人才紧缺状况。毕业生以扎实的专业基础、较强的实践能力和良好的职业素养，受到用人单位广泛好评。</w:t>
      </w:r>
    </w:p>
    <w:p w14:paraId="58400523">
      <w:pPr>
        <w:pStyle w:val="10"/>
        <w:keepNext w:val="0"/>
        <w:keepLines w:val="0"/>
        <w:widowControl/>
        <w:suppressLineNumbers w:val="0"/>
        <w:jc w:val="center"/>
        <w:rPr>
          <w:rFonts w:hint="eastAsia" w:eastAsia="仿宋_GB2312"/>
          <w:lang w:val="en-US" w:eastAsia="zh-CN"/>
        </w:rPr>
      </w:pPr>
      <w:r>
        <w:t xml:space="preserve">表 </w:t>
      </w:r>
      <w:r>
        <w:fldChar w:fldCharType="begin"/>
      </w:r>
      <w:r>
        <w:instrText xml:space="preserve"> SEQ 表 \* ARABIC </w:instrText>
      </w:r>
      <w:r>
        <w:fldChar w:fldCharType="separate"/>
      </w:r>
      <w:r>
        <w:t>8</w:t>
      </w:r>
      <w:r>
        <w:fldChar w:fldCharType="end"/>
      </w:r>
      <w:bookmarkStart w:id="44" w:name="_Toc30808"/>
      <w:r>
        <w:rPr>
          <w:rFonts w:hint="eastAsia"/>
          <w:lang w:eastAsia="zh-CN"/>
        </w:rPr>
        <w:t>：2025年度校企合作单位</w:t>
      </w:r>
      <w:bookmarkEnd w:id="44"/>
    </w:p>
    <w:tbl>
      <w:tblPr>
        <w:tblStyle w:val="21"/>
        <w:tblW w:w="88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6"/>
        <w:gridCol w:w="7714"/>
      </w:tblGrid>
      <w:tr w14:paraId="5F7D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1096" w:type="dxa"/>
            <w:vMerge w:val="restart"/>
            <w:tcBorders>
              <w:top w:val="single" w:color="5B9BD5" w:sz="8" w:space="0"/>
              <w:left w:val="single" w:color="5B9BD5" w:sz="8" w:space="0"/>
              <w:bottom w:val="single" w:color="5B9BD5" w:sz="8" w:space="0"/>
              <w:right w:val="single" w:color="BDD6EE" w:sz="8" w:space="0"/>
            </w:tcBorders>
            <w:shd w:val="clear" w:color="auto" w:fill="5B9BD5"/>
            <w:noWrap/>
            <w:vAlign w:val="center"/>
          </w:tcPr>
          <w:p w14:paraId="32F36AA0">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FFFFFF"/>
                <w:sz w:val="24"/>
                <w:szCs w:val="24"/>
                <w:u w:val="none"/>
              </w:rPr>
            </w:pPr>
            <w:r>
              <w:rPr>
                <w:rFonts w:hint="eastAsia" w:ascii="宋体" w:hAnsi="宋体" w:eastAsia="宋体" w:cs="宋体"/>
                <w:b/>
                <w:bCs/>
                <w:i w:val="0"/>
                <w:iCs w:val="0"/>
                <w:color w:val="FFFFFF"/>
                <w:kern w:val="0"/>
                <w:sz w:val="24"/>
                <w:szCs w:val="24"/>
                <w:u w:val="none"/>
                <w:lang w:val="en-US" w:eastAsia="zh-CN" w:bidi="ar"/>
              </w:rPr>
              <w:t>序号</w:t>
            </w:r>
          </w:p>
        </w:tc>
        <w:tc>
          <w:tcPr>
            <w:tcW w:w="7714" w:type="dxa"/>
            <w:vMerge w:val="restart"/>
            <w:tcBorders>
              <w:top w:val="single" w:color="5B9BD5" w:sz="8" w:space="0"/>
              <w:left w:val="nil"/>
              <w:bottom w:val="single" w:color="5B9BD5" w:sz="8" w:space="0"/>
              <w:right w:val="single" w:color="5B9BD5" w:sz="8" w:space="0"/>
            </w:tcBorders>
            <w:shd w:val="clear" w:color="auto" w:fill="5B9BD5"/>
            <w:noWrap/>
            <w:vAlign w:val="center"/>
          </w:tcPr>
          <w:p w14:paraId="27055862">
            <w:pPr>
              <w:keepNext w:val="0"/>
              <w:keepLines w:val="0"/>
              <w:widowControl/>
              <w:suppressLineNumbers w:val="0"/>
              <w:jc w:val="center"/>
              <w:textAlignment w:val="center"/>
              <w:rPr>
                <w:rFonts w:hint="eastAsia" w:ascii="宋体" w:hAnsi="宋体" w:eastAsia="宋体" w:cs="宋体"/>
                <w:b/>
                <w:bCs/>
                <w:i w:val="0"/>
                <w:iCs w:val="0"/>
                <w:color w:val="FFFFFF"/>
                <w:sz w:val="24"/>
                <w:szCs w:val="24"/>
                <w:u w:val="none"/>
              </w:rPr>
            </w:pPr>
            <w:r>
              <w:rPr>
                <w:rFonts w:hint="eastAsia" w:ascii="宋体" w:hAnsi="宋体" w:eastAsia="宋体" w:cs="宋体"/>
                <w:b/>
                <w:bCs/>
                <w:i w:val="0"/>
                <w:iCs w:val="0"/>
                <w:color w:val="FFFFFF"/>
                <w:kern w:val="0"/>
                <w:sz w:val="24"/>
                <w:szCs w:val="24"/>
                <w:u w:val="none"/>
                <w:lang w:val="en-US" w:eastAsia="zh-CN" w:bidi="ar"/>
              </w:rPr>
              <w:t>单位名称</w:t>
            </w:r>
          </w:p>
        </w:tc>
      </w:tr>
      <w:tr w14:paraId="201E2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96" w:type="dxa"/>
            <w:vMerge w:val="continue"/>
            <w:tcBorders>
              <w:top w:val="single" w:color="5B9BD5" w:sz="8" w:space="0"/>
              <w:left w:val="single" w:color="5B9BD5" w:sz="8" w:space="0"/>
              <w:bottom w:val="single" w:color="5B9BD5" w:sz="8" w:space="0"/>
              <w:right w:val="single" w:color="BDD6EE" w:sz="8" w:space="0"/>
            </w:tcBorders>
            <w:shd w:val="clear" w:color="auto" w:fill="5B9BD5"/>
            <w:noWrap/>
            <w:vAlign w:val="center"/>
          </w:tcPr>
          <w:p w14:paraId="71443ABE">
            <w:pPr>
              <w:jc w:val="center"/>
              <w:rPr>
                <w:rFonts w:hint="eastAsia" w:ascii="宋体" w:hAnsi="宋体" w:eastAsia="宋体" w:cs="宋体"/>
                <w:b/>
                <w:bCs/>
                <w:i w:val="0"/>
                <w:iCs w:val="0"/>
                <w:color w:val="FFFFFF"/>
                <w:sz w:val="24"/>
                <w:szCs w:val="24"/>
                <w:u w:val="none"/>
              </w:rPr>
            </w:pPr>
          </w:p>
        </w:tc>
        <w:tc>
          <w:tcPr>
            <w:tcW w:w="7714" w:type="dxa"/>
            <w:vMerge w:val="continue"/>
            <w:tcBorders>
              <w:top w:val="single" w:color="5B9BD5" w:sz="8" w:space="0"/>
              <w:left w:val="nil"/>
              <w:bottom w:val="single" w:color="5B9BD5" w:sz="8" w:space="0"/>
              <w:right w:val="single" w:color="5B9BD5" w:sz="8" w:space="0"/>
            </w:tcBorders>
            <w:shd w:val="clear" w:color="auto" w:fill="5B9BD5"/>
            <w:noWrap/>
            <w:vAlign w:val="center"/>
          </w:tcPr>
          <w:p w14:paraId="35B729C4">
            <w:pPr>
              <w:jc w:val="center"/>
              <w:rPr>
                <w:rFonts w:hint="eastAsia" w:ascii="宋体" w:hAnsi="宋体" w:eastAsia="宋体" w:cs="宋体"/>
                <w:b/>
                <w:bCs/>
                <w:i w:val="0"/>
                <w:iCs w:val="0"/>
                <w:color w:val="FFFFFF"/>
                <w:sz w:val="24"/>
                <w:szCs w:val="24"/>
                <w:u w:val="none"/>
              </w:rPr>
            </w:pPr>
          </w:p>
        </w:tc>
      </w:tr>
      <w:tr w14:paraId="2CA70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5C054FA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714" w:type="dxa"/>
            <w:tcBorders>
              <w:top w:val="nil"/>
              <w:left w:val="nil"/>
              <w:bottom w:val="single" w:color="BDD6EE" w:sz="8" w:space="0"/>
              <w:right w:val="single" w:color="5B9BD5" w:sz="8" w:space="0"/>
            </w:tcBorders>
            <w:shd w:val="clear" w:color="auto" w:fill="FFFFFF"/>
            <w:noWrap/>
            <w:vAlign w:val="center"/>
          </w:tcPr>
          <w:p w14:paraId="332E5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北京浩辰博展科技发展有限责任公司</w:t>
            </w:r>
          </w:p>
        </w:tc>
      </w:tr>
      <w:tr w14:paraId="63222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46D9753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714" w:type="dxa"/>
            <w:tcBorders>
              <w:top w:val="nil"/>
              <w:left w:val="nil"/>
              <w:bottom w:val="single" w:color="BDD6EE" w:sz="8" w:space="0"/>
              <w:right w:val="single" w:color="5B9BD5" w:sz="8" w:space="0"/>
            </w:tcBorders>
            <w:shd w:val="clear" w:color="auto" w:fill="EEF5FA"/>
            <w:noWrap/>
            <w:vAlign w:val="center"/>
          </w:tcPr>
          <w:p w14:paraId="0CA71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北京海王中新药业股份有限公司</w:t>
            </w:r>
          </w:p>
        </w:tc>
      </w:tr>
      <w:tr w14:paraId="49896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756C8128">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714" w:type="dxa"/>
            <w:tcBorders>
              <w:top w:val="nil"/>
              <w:left w:val="nil"/>
              <w:bottom w:val="single" w:color="BDD6EE" w:sz="8" w:space="0"/>
              <w:right w:val="single" w:color="5B9BD5" w:sz="8" w:space="0"/>
            </w:tcBorders>
            <w:shd w:val="clear" w:color="auto" w:fill="FFFFFF"/>
            <w:noWrap/>
            <w:vAlign w:val="center"/>
          </w:tcPr>
          <w:p w14:paraId="376F1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北京仟草中药饮片有限公司</w:t>
            </w:r>
          </w:p>
        </w:tc>
      </w:tr>
      <w:tr w14:paraId="1FAC3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4ED804B3">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714" w:type="dxa"/>
            <w:tcBorders>
              <w:top w:val="nil"/>
              <w:left w:val="nil"/>
              <w:bottom w:val="single" w:color="BDD6EE" w:sz="8" w:space="0"/>
              <w:right w:val="single" w:color="5B9BD5" w:sz="8" w:space="0"/>
            </w:tcBorders>
            <w:shd w:val="clear" w:color="auto" w:fill="EEF5FA"/>
            <w:noWrap/>
            <w:vAlign w:val="center"/>
          </w:tcPr>
          <w:p w14:paraId="35C6D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北京赛升药业股份有限公司</w:t>
            </w:r>
          </w:p>
        </w:tc>
      </w:tr>
      <w:tr w14:paraId="015E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78FAAEE0">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714" w:type="dxa"/>
            <w:tcBorders>
              <w:top w:val="nil"/>
              <w:left w:val="nil"/>
              <w:bottom w:val="single" w:color="BDD6EE" w:sz="8" w:space="0"/>
              <w:right w:val="single" w:color="5B9BD5" w:sz="8" w:space="0"/>
            </w:tcBorders>
            <w:shd w:val="clear" w:color="auto" w:fill="FFFFFF"/>
            <w:noWrap/>
            <w:vAlign w:val="center"/>
          </w:tcPr>
          <w:p w14:paraId="7AC2E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甘李药业股份有限公司</w:t>
            </w:r>
          </w:p>
        </w:tc>
      </w:tr>
      <w:tr w14:paraId="27E1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37A70AAC">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714" w:type="dxa"/>
            <w:tcBorders>
              <w:top w:val="nil"/>
              <w:left w:val="nil"/>
              <w:bottom w:val="single" w:color="BDD6EE" w:sz="8" w:space="0"/>
              <w:right w:val="single" w:color="5B9BD5" w:sz="8" w:space="0"/>
            </w:tcBorders>
            <w:shd w:val="clear" w:color="auto" w:fill="EEF5FA"/>
            <w:noWrap/>
            <w:vAlign w:val="center"/>
          </w:tcPr>
          <w:p w14:paraId="606C34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北京九州通医药有限公司</w:t>
            </w:r>
          </w:p>
        </w:tc>
      </w:tr>
      <w:tr w14:paraId="5DD95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4A157EF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714" w:type="dxa"/>
            <w:tcBorders>
              <w:top w:val="nil"/>
              <w:left w:val="nil"/>
              <w:bottom w:val="single" w:color="BDD6EE" w:sz="8" w:space="0"/>
              <w:right w:val="single" w:color="5B9BD5" w:sz="8" w:space="0"/>
            </w:tcBorders>
            <w:shd w:val="clear" w:color="auto" w:fill="FFFFFF"/>
            <w:noWrap/>
            <w:vAlign w:val="center"/>
          </w:tcPr>
          <w:p w14:paraId="3F5F86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杭州奥泰生物技术股份有限公司</w:t>
            </w:r>
          </w:p>
        </w:tc>
      </w:tr>
      <w:tr w14:paraId="17F99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65171CA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714" w:type="dxa"/>
            <w:tcBorders>
              <w:top w:val="nil"/>
              <w:left w:val="nil"/>
              <w:bottom w:val="single" w:color="BDD6EE" w:sz="8" w:space="0"/>
              <w:right w:val="single" w:color="5B9BD5" w:sz="8" w:space="0"/>
            </w:tcBorders>
            <w:shd w:val="clear" w:color="auto" w:fill="EEF5FA"/>
            <w:noWrap/>
            <w:vAlign w:val="center"/>
          </w:tcPr>
          <w:p w14:paraId="38316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浙江仟源海力生制药有限公司</w:t>
            </w:r>
          </w:p>
        </w:tc>
      </w:tr>
      <w:tr w14:paraId="176A0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13ECF6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714" w:type="dxa"/>
            <w:tcBorders>
              <w:top w:val="nil"/>
              <w:left w:val="nil"/>
              <w:bottom w:val="single" w:color="BDD6EE" w:sz="8" w:space="0"/>
              <w:right w:val="single" w:color="5B9BD5" w:sz="8" w:space="0"/>
            </w:tcBorders>
            <w:shd w:val="clear" w:color="auto" w:fill="FFFFFF"/>
            <w:noWrap/>
            <w:vAlign w:val="center"/>
          </w:tcPr>
          <w:p w14:paraId="12533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西安利君制药有限责任公司</w:t>
            </w:r>
          </w:p>
        </w:tc>
      </w:tr>
      <w:tr w14:paraId="42D41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671457C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714" w:type="dxa"/>
            <w:tcBorders>
              <w:top w:val="nil"/>
              <w:left w:val="nil"/>
              <w:bottom w:val="single" w:color="BDD6EE" w:sz="8" w:space="0"/>
              <w:right w:val="single" w:color="5B9BD5" w:sz="8" w:space="0"/>
            </w:tcBorders>
            <w:shd w:val="clear" w:color="auto" w:fill="EEF5FA"/>
            <w:noWrap/>
            <w:vAlign w:val="center"/>
          </w:tcPr>
          <w:p w14:paraId="5A44DD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西安世纪盛康药业有限公司</w:t>
            </w:r>
          </w:p>
        </w:tc>
      </w:tr>
      <w:tr w14:paraId="14E71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7D6ECCD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714" w:type="dxa"/>
            <w:tcBorders>
              <w:top w:val="nil"/>
              <w:left w:val="nil"/>
              <w:bottom w:val="single" w:color="BDD6EE" w:sz="8" w:space="0"/>
              <w:right w:val="single" w:color="5B9BD5" w:sz="8" w:space="0"/>
            </w:tcBorders>
            <w:shd w:val="clear" w:color="auto" w:fill="FFFFFF"/>
            <w:noWrap/>
            <w:vAlign w:val="center"/>
          </w:tcPr>
          <w:p w14:paraId="4C4BBA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陕西怡悦国药有限公司</w:t>
            </w:r>
          </w:p>
        </w:tc>
      </w:tr>
      <w:tr w14:paraId="468B2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1070A2B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714" w:type="dxa"/>
            <w:tcBorders>
              <w:top w:val="nil"/>
              <w:left w:val="nil"/>
              <w:bottom w:val="single" w:color="BDD6EE" w:sz="8" w:space="0"/>
              <w:right w:val="single" w:color="5B9BD5" w:sz="8" w:space="0"/>
            </w:tcBorders>
            <w:shd w:val="clear" w:color="auto" w:fill="EEF5FA"/>
            <w:noWrap/>
            <w:vAlign w:val="center"/>
          </w:tcPr>
          <w:p w14:paraId="09199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陕西海川医药有限公司</w:t>
            </w:r>
          </w:p>
        </w:tc>
      </w:tr>
      <w:tr w14:paraId="5A2F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6FC2944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7714" w:type="dxa"/>
            <w:tcBorders>
              <w:top w:val="nil"/>
              <w:left w:val="nil"/>
              <w:bottom w:val="single" w:color="BDD6EE" w:sz="8" w:space="0"/>
              <w:right w:val="single" w:color="5B9BD5" w:sz="8" w:space="0"/>
            </w:tcBorders>
            <w:shd w:val="clear" w:color="auto" w:fill="FFFFFF"/>
            <w:noWrap/>
            <w:vAlign w:val="center"/>
          </w:tcPr>
          <w:p w14:paraId="6C75C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广东利泰制药股份有限公司</w:t>
            </w:r>
          </w:p>
        </w:tc>
      </w:tr>
      <w:tr w14:paraId="4A9DB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6895B6B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7714" w:type="dxa"/>
            <w:tcBorders>
              <w:top w:val="nil"/>
              <w:left w:val="nil"/>
              <w:bottom w:val="single" w:color="BDD6EE" w:sz="8" w:space="0"/>
              <w:right w:val="single" w:color="5B9BD5" w:sz="8" w:space="0"/>
            </w:tcBorders>
            <w:shd w:val="clear" w:color="auto" w:fill="EEF5FA"/>
            <w:noWrap/>
            <w:vAlign w:val="center"/>
          </w:tcPr>
          <w:p w14:paraId="78CC9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杭州丝域企业管理咨询有限公司</w:t>
            </w:r>
          </w:p>
        </w:tc>
      </w:tr>
      <w:tr w14:paraId="14D3F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1599988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714" w:type="dxa"/>
            <w:tcBorders>
              <w:top w:val="nil"/>
              <w:left w:val="nil"/>
              <w:bottom w:val="single" w:color="BDD6EE" w:sz="8" w:space="0"/>
              <w:right w:val="single" w:color="5B9BD5" w:sz="8" w:space="0"/>
            </w:tcBorders>
            <w:shd w:val="clear" w:color="auto" w:fill="FFFFFF"/>
            <w:noWrap/>
            <w:vAlign w:val="center"/>
          </w:tcPr>
          <w:p w14:paraId="75992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西安丝域企业管理咨询有限公司</w:t>
            </w:r>
          </w:p>
        </w:tc>
      </w:tr>
      <w:tr w14:paraId="47D23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3EC6374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714" w:type="dxa"/>
            <w:tcBorders>
              <w:top w:val="nil"/>
              <w:left w:val="nil"/>
              <w:bottom w:val="single" w:color="BDD6EE" w:sz="8" w:space="0"/>
              <w:right w:val="single" w:color="5B9BD5" w:sz="8" w:space="0"/>
            </w:tcBorders>
            <w:shd w:val="clear" w:color="auto" w:fill="EEF5FA"/>
            <w:noWrap/>
            <w:vAlign w:val="center"/>
          </w:tcPr>
          <w:p w14:paraId="0D5F70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科容诗美学中心</w:t>
            </w:r>
          </w:p>
        </w:tc>
      </w:tr>
      <w:tr w14:paraId="17201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2045D29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7714" w:type="dxa"/>
            <w:tcBorders>
              <w:top w:val="nil"/>
              <w:left w:val="nil"/>
              <w:bottom w:val="single" w:color="BDD6EE" w:sz="8" w:space="0"/>
              <w:right w:val="single" w:color="5B9BD5" w:sz="8" w:space="0"/>
            </w:tcBorders>
            <w:shd w:val="clear" w:color="auto" w:fill="FFFFFF"/>
            <w:noWrap/>
            <w:vAlign w:val="center"/>
          </w:tcPr>
          <w:p w14:paraId="4D285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启东升艾堂健康养生馆</w:t>
            </w:r>
          </w:p>
        </w:tc>
      </w:tr>
      <w:tr w14:paraId="5F7EF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59AE7E7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714" w:type="dxa"/>
            <w:tcBorders>
              <w:top w:val="nil"/>
              <w:left w:val="nil"/>
              <w:bottom w:val="single" w:color="BDD6EE" w:sz="8" w:space="0"/>
              <w:right w:val="single" w:color="5B9BD5" w:sz="8" w:space="0"/>
            </w:tcBorders>
            <w:shd w:val="clear" w:color="auto" w:fill="EEF5FA"/>
            <w:noWrap/>
            <w:vAlign w:val="center"/>
          </w:tcPr>
          <w:p w14:paraId="15857A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杭州灸春堂品牌管理有限责任公司</w:t>
            </w:r>
          </w:p>
        </w:tc>
      </w:tr>
      <w:tr w14:paraId="18FC8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4038000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7714" w:type="dxa"/>
            <w:tcBorders>
              <w:top w:val="nil"/>
              <w:left w:val="nil"/>
              <w:bottom w:val="single" w:color="BDD6EE" w:sz="8" w:space="0"/>
              <w:right w:val="single" w:color="5B9BD5" w:sz="8" w:space="0"/>
            </w:tcBorders>
            <w:shd w:val="clear" w:color="auto" w:fill="FFFFFF"/>
            <w:noWrap/>
            <w:vAlign w:val="center"/>
          </w:tcPr>
          <w:p w14:paraId="4B6A7A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广州和本生物科技有限公司</w:t>
            </w:r>
          </w:p>
        </w:tc>
      </w:tr>
      <w:tr w14:paraId="25ED3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283732C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714" w:type="dxa"/>
            <w:tcBorders>
              <w:top w:val="nil"/>
              <w:left w:val="nil"/>
              <w:bottom w:val="single" w:color="BDD6EE" w:sz="8" w:space="0"/>
              <w:right w:val="single" w:color="5B9BD5" w:sz="8" w:space="0"/>
            </w:tcBorders>
            <w:shd w:val="clear" w:color="auto" w:fill="EEF5FA"/>
            <w:noWrap/>
            <w:vAlign w:val="center"/>
          </w:tcPr>
          <w:p w14:paraId="0517E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北京国艾堂健康管理有限公司</w:t>
            </w:r>
          </w:p>
        </w:tc>
      </w:tr>
      <w:tr w14:paraId="3323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7254EA4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7714" w:type="dxa"/>
            <w:tcBorders>
              <w:top w:val="nil"/>
              <w:left w:val="nil"/>
              <w:bottom w:val="single" w:color="BDD6EE" w:sz="8" w:space="0"/>
              <w:right w:val="single" w:color="5B9BD5" w:sz="8" w:space="0"/>
            </w:tcBorders>
            <w:shd w:val="clear" w:color="auto" w:fill="FFFFFF"/>
            <w:noWrap/>
            <w:vAlign w:val="center"/>
          </w:tcPr>
          <w:p w14:paraId="3B6EF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北京健合堂健康管理有限公司</w:t>
            </w:r>
          </w:p>
        </w:tc>
      </w:tr>
      <w:tr w14:paraId="4EB3D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091F69D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7714" w:type="dxa"/>
            <w:tcBorders>
              <w:top w:val="nil"/>
              <w:left w:val="nil"/>
              <w:bottom w:val="single" w:color="BDD6EE" w:sz="8" w:space="0"/>
              <w:right w:val="single" w:color="5B9BD5" w:sz="8" w:space="0"/>
            </w:tcBorders>
            <w:shd w:val="clear" w:color="auto" w:fill="EEF5FA"/>
            <w:noWrap/>
            <w:vAlign w:val="center"/>
          </w:tcPr>
          <w:p w14:paraId="5CC4A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北京健合堂健康管理有限公司河南分公司</w:t>
            </w:r>
          </w:p>
        </w:tc>
      </w:tr>
      <w:tr w14:paraId="7F34D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4ECB2F4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7714" w:type="dxa"/>
            <w:tcBorders>
              <w:top w:val="nil"/>
              <w:left w:val="nil"/>
              <w:bottom w:val="single" w:color="BDD6EE" w:sz="8" w:space="0"/>
              <w:right w:val="single" w:color="5B9BD5" w:sz="8" w:space="0"/>
            </w:tcBorders>
            <w:shd w:val="clear" w:color="auto" w:fill="FFFFFF"/>
            <w:noWrap/>
            <w:vAlign w:val="center"/>
          </w:tcPr>
          <w:p w14:paraId="203D1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湖北康之道健康管理有限公司</w:t>
            </w:r>
          </w:p>
        </w:tc>
      </w:tr>
      <w:tr w14:paraId="2619F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1029AB5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714" w:type="dxa"/>
            <w:tcBorders>
              <w:top w:val="nil"/>
              <w:left w:val="nil"/>
              <w:bottom w:val="single" w:color="BDD6EE" w:sz="8" w:space="0"/>
              <w:right w:val="single" w:color="5B9BD5" w:sz="8" w:space="0"/>
            </w:tcBorders>
            <w:shd w:val="clear" w:color="auto" w:fill="EEF5FA"/>
            <w:noWrap/>
            <w:vAlign w:val="center"/>
          </w:tcPr>
          <w:p w14:paraId="2A609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臻葆元生物科技有限公司</w:t>
            </w:r>
          </w:p>
        </w:tc>
      </w:tr>
      <w:tr w14:paraId="5E565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03ADFF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7714" w:type="dxa"/>
            <w:tcBorders>
              <w:top w:val="nil"/>
              <w:left w:val="nil"/>
              <w:bottom w:val="single" w:color="BDD6EE" w:sz="8" w:space="0"/>
              <w:right w:val="single" w:color="5B9BD5" w:sz="8" w:space="0"/>
            </w:tcBorders>
            <w:shd w:val="clear" w:color="auto" w:fill="FFFFFF"/>
            <w:noWrap/>
            <w:vAlign w:val="center"/>
          </w:tcPr>
          <w:p w14:paraId="6F360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西安市鄠邑区经道国医馆</w:t>
            </w:r>
          </w:p>
        </w:tc>
      </w:tr>
      <w:tr w14:paraId="2B85B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29EFD3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7714" w:type="dxa"/>
            <w:tcBorders>
              <w:top w:val="nil"/>
              <w:left w:val="nil"/>
              <w:bottom w:val="single" w:color="BDD6EE" w:sz="8" w:space="0"/>
              <w:right w:val="single" w:color="5B9BD5" w:sz="8" w:space="0"/>
            </w:tcBorders>
            <w:shd w:val="clear" w:color="auto" w:fill="EEF5FA"/>
            <w:noWrap/>
            <w:vAlign w:val="center"/>
          </w:tcPr>
          <w:p w14:paraId="1FFF4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西安市高新区圣瑞美容部</w:t>
            </w:r>
          </w:p>
        </w:tc>
      </w:tr>
      <w:tr w14:paraId="275C9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2C3BA4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7714" w:type="dxa"/>
            <w:tcBorders>
              <w:top w:val="nil"/>
              <w:left w:val="nil"/>
              <w:bottom w:val="single" w:color="BDD6EE" w:sz="8" w:space="0"/>
              <w:right w:val="single" w:color="5B9BD5" w:sz="8" w:space="0"/>
            </w:tcBorders>
            <w:shd w:val="clear" w:color="auto" w:fill="FFFFFF"/>
            <w:noWrap/>
            <w:vAlign w:val="center"/>
          </w:tcPr>
          <w:p w14:paraId="588E7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北京路长久健康管理有限公司丰科路分公司</w:t>
            </w:r>
          </w:p>
        </w:tc>
      </w:tr>
      <w:tr w14:paraId="285B2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517F71B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7714" w:type="dxa"/>
            <w:tcBorders>
              <w:top w:val="nil"/>
              <w:left w:val="nil"/>
              <w:bottom w:val="single" w:color="BDD6EE" w:sz="8" w:space="0"/>
              <w:right w:val="single" w:color="5B9BD5" w:sz="8" w:space="0"/>
            </w:tcBorders>
            <w:shd w:val="clear" w:color="auto" w:fill="EEF5FA"/>
            <w:noWrap/>
            <w:vAlign w:val="center"/>
          </w:tcPr>
          <w:p w14:paraId="47BA6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广州市普泰德义齿有限公司</w:t>
            </w:r>
          </w:p>
        </w:tc>
      </w:tr>
      <w:tr w14:paraId="25C73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FFFFFF"/>
            <w:noWrap/>
            <w:vAlign w:val="center"/>
          </w:tcPr>
          <w:p w14:paraId="03E3B93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7714" w:type="dxa"/>
            <w:tcBorders>
              <w:top w:val="nil"/>
              <w:left w:val="nil"/>
              <w:bottom w:val="single" w:color="BDD6EE" w:sz="8" w:space="0"/>
              <w:right w:val="single" w:color="5B9BD5" w:sz="8" w:space="0"/>
            </w:tcBorders>
            <w:shd w:val="clear" w:color="auto" w:fill="FFFFFF"/>
            <w:noWrap/>
            <w:vAlign w:val="center"/>
          </w:tcPr>
          <w:p w14:paraId="0850D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陕西金宝美养老产业服务有限公司</w:t>
            </w:r>
          </w:p>
        </w:tc>
      </w:tr>
      <w:tr w14:paraId="66F48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BDD6EE" w:sz="8" w:space="0"/>
              <w:right w:val="single" w:color="BDD6EE" w:sz="8" w:space="0"/>
            </w:tcBorders>
            <w:shd w:val="clear" w:color="auto" w:fill="EEF5FA"/>
            <w:noWrap/>
            <w:vAlign w:val="center"/>
          </w:tcPr>
          <w:p w14:paraId="1DBF8F9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7714" w:type="dxa"/>
            <w:tcBorders>
              <w:top w:val="nil"/>
              <w:left w:val="nil"/>
              <w:bottom w:val="single" w:color="BDD6EE" w:sz="8" w:space="0"/>
              <w:right w:val="single" w:color="5B9BD5" w:sz="8" w:space="0"/>
            </w:tcBorders>
            <w:shd w:val="clear" w:color="auto" w:fill="EEF5FA"/>
            <w:noWrap/>
            <w:vAlign w:val="center"/>
          </w:tcPr>
          <w:p w14:paraId="25348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杭州聚人化妆品有限公司</w:t>
            </w:r>
          </w:p>
        </w:tc>
      </w:tr>
      <w:tr w14:paraId="55D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5B9BD5" w:sz="8" w:space="0"/>
              <w:bottom w:val="single" w:color="5B9BD5" w:sz="8" w:space="0"/>
              <w:right w:val="single" w:color="BDD6EE" w:sz="8" w:space="0"/>
            </w:tcBorders>
            <w:shd w:val="clear" w:color="auto" w:fill="FFFFFF"/>
            <w:noWrap/>
            <w:vAlign w:val="center"/>
          </w:tcPr>
          <w:p w14:paraId="6DE9BF7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714" w:type="dxa"/>
            <w:tcBorders>
              <w:top w:val="nil"/>
              <w:left w:val="nil"/>
              <w:bottom w:val="single" w:color="5B9BD5" w:sz="8" w:space="0"/>
              <w:right w:val="single" w:color="5B9BD5" w:sz="8" w:space="0"/>
            </w:tcBorders>
            <w:shd w:val="clear" w:color="auto" w:fill="FFFFFF"/>
            <w:noWrap/>
            <w:vAlign w:val="center"/>
          </w:tcPr>
          <w:p w14:paraId="69A77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西安经济技术开发区裕发康养发馆</w:t>
            </w:r>
          </w:p>
        </w:tc>
      </w:tr>
    </w:tbl>
    <w:p w14:paraId="1255643D">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rPr>
      </w:pPr>
      <w:bookmarkStart w:id="45" w:name="_Toc31398"/>
      <w:r>
        <w:rPr>
          <w:rFonts w:hint="default"/>
        </w:rPr>
        <w:t>3.</w:t>
      </w:r>
      <w:r>
        <w:rPr>
          <w:rFonts w:hint="eastAsia"/>
          <w:lang w:val="en-US" w:eastAsia="zh-CN"/>
        </w:rPr>
        <w:t>2</w:t>
      </w:r>
      <w:r>
        <w:rPr>
          <w:rFonts w:hint="default"/>
        </w:rPr>
        <w:t>服务地方发展</w:t>
      </w:r>
      <w:bookmarkEnd w:id="45"/>
    </w:p>
    <w:p w14:paraId="785154D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r>
        <w:rPr>
          <w:rFonts w:hint="eastAsia"/>
          <w:lang w:eastAsia="zh-CN"/>
        </w:rPr>
        <w:t>聚焦区域医疗能力提升，深化产教融合服务模式，依托培训成果推动基层卫生人才队伍建设与地方健康事业发展同频共振。通过系统化课程设计与专业化师资支持，持续赋能县域医共体建设，助力实现“小病不出乡、大病不出县”的医改目标。以精准化、可持续的公益培训机制，为乡村振兴和健康中国战略注入长效动力。</w:t>
      </w:r>
    </w:p>
    <w:p w14:paraId="67032A27">
      <w:pPr>
        <w:pStyle w:val="10"/>
        <w:bidi w:val="0"/>
        <w:jc w:val="center"/>
        <w:rPr>
          <w:rFonts w:hint="eastAsia" w:eastAsia="仿宋_GB2312"/>
          <w:lang w:eastAsia="zh-CN"/>
        </w:rPr>
      </w:pPr>
      <w:r>
        <w:t xml:space="preserve">表 </w:t>
      </w:r>
      <w:r>
        <w:fldChar w:fldCharType="begin"/>
      </w:r>
      <w:r>
        <w:instrText xml:space="preserve"> SEQ 表 \* ARABIC </w:instrText>
      </w:r>
      <w:r>
        <w:fldChar w:fldCharType="separate"/>
      </w:r>
      <w:r>
        <w:t>9</w:t>
      </w:r>
      <w:r>
        <w:fldChar w:fldCharType="end"/>
      </w:r>
      <w:bookmarkStart w:id="46" w:name="_Toc9768"/>
      <w:r>
        <w:rPr>
          <w:rFonts w:hint="eastAsia"/>
          <w:lang w:eastAsia="zh-CN"/>
        </w:rPr>
        <w:t>：2025年承办公益培训项目</w:t>
      </w:r>
      <w:bookmarkEnd w:id="46"/>
    </w:p>
    <w:tbl>
      <w:tblPr>
        <w:tblStyle w:val="21"/>
        <w:tblW w:w="9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56"/>
        <w:gridCol w:w="1536"/>
        <w:gridCol w:w="1176"/>
        <w:gridCol w:w="3216"/>
        <w:gridCol w:w="1176"/>
        <w:gridCol w:w="846"/>
      </w:tblGrid>
      <w:tr w14:paraId="3A29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jc w:val="center"/>
        </w:trPr>
        <w:tc>
          <w:tcPr>
            <w:tcW w:w="1656" w:type="dxa"/>
            <w:vMerge w:val="restart"/>
            <w:tcBorders>
              <w:top w:val="nil"/>
              <w:left w:val="nil"/>
              <w:bottom w:val="nil"/>
              <w:right w:val="nil"/>
            </w:tcBorders>
            <w:shd w:val="clear" w:color="auto" w:fill="5B9BD5" w:themeFill="accent1"/>
            <w:vAlign w:val="center"/>
          </w:tcPr>
          <w:p w14:paraId="3A552414">
            <w:pPr>
              <w:keepNext w:val="0"/>
              <w:keepLines w:val="0"/>
              <w:widowControl/>
              <w:suppressLineNumbers w:val="0"/>
              <w:tabs>
                <w:tab w:val="center" w:pos="605"/>
              </w:tabs>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培训名称</w:t>
            </w:r>
          </w:p>
        </w:tc>
        <w:tc>
          <w:tcPr>
            <w:tcW w:w="1536" w:type="dxa"/>
            <w:vMerge w:val="restart"/>
            <w:tcBorders>
              <w:top w:val="nil"/>
              <w:left w:val="nil"/>
              <w:bottom w:val="nil"/>
              <w:right w:val="nil"/>
            </w:tcBorders>
            <w:shd w:val="clear" w:color="auto" w:fill="5B9BD5" w:themeFill="accent1"/>
            <w:vAlign w:val="center"/>
          </w:tcPr>
          <w:p w14:paraId="550A72D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培训承办单位</w:t>
            </w:r>
          </w:p>
        </w:tc>
        <w:tc>
          <w:tcPr>
            <w:tcW w:w="1176" w:type="dxa"/>
            <w:vMerge w:val="restart"/>
            <w:tcBorders>
              <w:top w:val="nil"/>
              <w:left w:val="nil"/>
              <w:bottom w:val="nil"/>
              <w:right w:val="nil"/>
            </w:tcBorders>
            <w:shd w:val="clear" w:color="auto" w:fill="5B9BD5" w:themeFill="accent1"/>
            <w:vAlign w:val="center"/>
          </w:tcPr>
          <w:p w14:paraId="5673AC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培训时间</w:t>
            </w:r>
          </w:p>
        </w:tc>
        <w:tc>
          <w:tcPr>
            <w:tcW w:w="3216" w:type="dxa"/>
            <w:vMerge w:val="restart"/>
            <w:tcBorders>
              <w:top w:val="nil"/>
              <w:left w:val="nil"/>
              <w:bottom w:val="nil"/>
              <w:right w:val="nil"/>
            </w:tcBorders>
            <w:shd w:val="clear" w:color="auto" w:fill="5B9BD5" w:themeFill="accent1"/>
            <w:vAlign w:val="center"/>
          </w:tcPr>
          <w:p w14:paraId="5FDA9F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培训内容</w:t>
            </w:r>
          </w:p>
        </w:tc>
        <w:tc>
          <w:tcPr>
            <w:tcW w:w="1176" w:type="dxa"/>
            <w:vMerge w:val="restart"/>
            <w:tcBorders>
              <w:top w:val="nil"/>
              <w:left w:val="nil"/>
              <w:bottom w:val="nil"/>
              <w:right w:val="nil"/>
            </w:tcBorders>
            <w:shd w:val="clear" w:color="auto" w:fill="5B9BD5" w:themeFill="accent1"/>
            <w:vAlign w:val="center"/>
          </w:tcPr>
          <w:p w14:paraId="4400226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面向群体</w:t>
            </w:r>
          </w:p>
        </w:tc>
        <w:tc>
          <w:tcPr>
            <w:tcW w:w="846" w:type="dxa"/>
            <w:vMerge w:val="restart"/>
            <w:tcBorders>
              <w:top w:val="nil"/>
              <w:left w:val="nil"/>
              <w:bottom w:val="nil"/>
              <w:right w:val="nil"/>
            </w:tcBorders>
            <w:shd w:val="clear" w:color="auto" w:fill="5B9BD5" w:themeFill="accent1"/>
            <w:vAlign w:val="center"/>
          </w:tcPr>
          <w:p w14:paraId="5F84D60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FFFFFF"/>
                <w:kern w:val="0"/>
                <w:sz w:val="18"/>
                <w:szCs w:val="18"/>
                <w:u w:val="none"/>
                <w:lang w:val="en-US" w:eastAsia="zh-CN" w:bidi="ar"/>
              </w:rPr>
            </w:pPr>
            <w:r>
              <w:rPr>
                <w:rFonts w:hint="eastAsia" w:ascii="宋体" w:hAnsi="宋体" w:eastAsia="宋体" w:cs="宋体"/>
                <w:b/>
                <w:i w:val="0"/>
                <w:iCs w:val="0"/>
                <w:color w:val="FFFFFF"/>
                <w:kern w:val="0"/>
                <w:sz w:val="18"/>
                <w:szCs w:val="18"/>
                <w:u w:val="none"/>
                <w:lang w:val="en-US" w:eastAsia="zh-CN" w:bidi="ar"/>
              </w:rPr>
              <w:t>培训总人数</w:t>
            </w:r>
          </w:p>
        </w:tc>
      </w:tr>
      <w:tr w14:paraId="0498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blHeader/>
          <w:jc w:val="center"/>
        </w:trPr>
        <w:tc>
          <w:tcPr>
            <w:tcW w:w="1656" w:type="dxa"/>
            <w:vMerge w:val="continue"/>
            <w:tcBorders>
              <w:top w:val="nil"/>
              <w:left w:val="nil"/>
              <w:bottom w:val="nil"/>
              <w:right w:val="nil"/>
            </w:tcBorders>
            <w:shd w:val="clear" w:color="auto" w:fill="FFFFFF"/>
            <w:vAlign w:val="center"/>
          </w:tcPr>
          <w:p w14:paraId="734BCD3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p>
        </w:tc>
        <w:tc>
          <w:tcPr>
            <w:tcW w:w="1536" w:type="dxa"/>
            <w:vMerge w:val="continue"/>
            <w:tcBorders>
              <w:top w:val="nil"/>
              <w:left w:val="nil"/>
              <w:bottom w:val="nil"/>
              <w:right w:val="nil"/>
            </w:tcBorders>
            <w:shd w:val="clear" w:color="auto" w:fill="FFFFFF"/>
            <w:vAlign w:val="center"/>
          </w:tcPr>
          <w:p w14:paraId="230F573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p>
        </w:tc>
        <w:tc>
          <w:tcPr>
            <w:tcW w:w="1176" w:type="dxa"/>
            <w:vMerge w:val="continue"/>
            <w:tcBorders>
              <w:top w:val="nil"/>
              <w:left w:val="nil"/>
              <w:bottom w:val="nil"/>
              <w:right w:val="nil"/>
            </w:tcBorders>
            <w:shd w:val="clear" w:color="auto" w:fill="FFFFFF"/>
            <w:vAlign w:val="center"/>
          </w:tcPr>
          <w:p w14:paraId="74B73AB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p>
        </w:tc>
        <w:tc>
          <w:tcPr>
            <w:tcW w:w="3216" w:type="dxa"/>
            <w:vMerge w:val="continue"/>
            <w:tcBorders>
              <w:top w:val="nil"/>
              <w:left w:val="nil"/>
              <w:bottom w:val="nil"/>
              <w:right w:val="nil"/>
            </w:tcBorders>
            <w:shd w:val="clear" w:color="auto" w:fill="FFFFFF"/>
            <w:vAlign w:val="center"/>
          </w:tcPr>
          <w:p w14:paraId="6D0C638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kern w:val="0"/>
                <w:sz w:val="18"/>
                <w:szCs w:val="18"/>
                <w:u w:val="none"/>
                <w:lang w:val="en-US" w:eastAsia="zh-CN" w:bidi="ar"/>
              </w:rPr>
            </w:pPr>
          </w:p>
        </w:tc>
        <w:tc>
          <w:tcPr>
            <w:tcW w:w="1176" w:type="dxa"/>
            <w:vMerge w:val="continue"/>
            <w:tcBorders>
              <w:top w:val="nil"/>
              <w:left w:val="nil"/>
              <w:bottom w:val="nil"/>
              <w:right w:val="nil"/>
            </w:tcBorders>
            <w:shd w:val="clear" w:color="auto" w:fill="FFFFFF"/>
            <w:vAlign w:val="center"/>
          </w:tcPr>
          <w:p w14:paraId="50ADAA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p>
        </w:tc>
        <w:tc>
          <w:tcPr>
            <w:tcW w:w="846" w:type="dxa"/>
            <w:vMerge w:val="continue"/>
            <w:tcBorders>
              <w:top w:val="nil"/>
              <w:left w:val="nil"/>
              <w:bottom w:val="nil"/>
              <w:right w:val="nil"/>
            </w:tcBorders>
            <w:shd w:val="clear" w:color="auto" w:fill="FFFFFF"/>
            <w:vAlign w:val="center"/>
          </w:tcPr>
          <w:p w14:paraId="0D4DF79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p>
        </w:tc>
      </w:tr>
      <w:tr w14:paraId="6EB6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56" w:type="dxa"/>
            <w:tcBorders>
              <w:top w:val="nil"/>
              <w:left w:val="nil"/>
              <w:bottom w:val="nil"/>
              <w:right w:val="nil"/>
            </w:tcBorders>
            <w:shd w:val="clear" w:color="auto" w:fill="FFFFFF"/>
            <w:vAlign w:val="center"/>
          </w:tcPr>
          <w:p w14:paraId="057DFF0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智汇成果领航前行</w:t>
            </w:r>
          </w:p>
        </w:tc>
        <w:tc>
          <w:tcPr>
            <w:tcW w:w="1536" w:type="dxa"/>
            <w:tcBorders>
              <w:top w:val="nil"/>
              <w:left w:val="nil"/>
              <w:bottom w:val="nil"/>
              <w:right w:val="nil"/>
            </w:tcBorders>
            <w:shd w:val="clear" w:color="auto" w:fill="FFFFFF"/>
            <w:vAlign w:val="center"/>
          </w:tcPr>
          <w:p w14:paraId="7548D0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tcBorders>
              <w:top w:val="nil"/>
              <w:left w:val="nil"/>
              <w:bottom w:val="nil"/>
              <w:right w:val="nil"/>
            </w:tcBorders>
            <w:shd w:val="clear" w:color="auto" w:fill="FFFFFF"/>
            <w:vAlign w:val="center"/>
          </w:tcPr>
          <w:p w14:paraId="25A3A46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2月26日</w:t>
            </w:r>
          </w:p>
        </w:tc>
        <w:tc>
          <w:tcPr>
            <w:tcW w:w="3216" w:type="dxa"/>
            <w:tcBorders>
              <w:top w:val="nil"/>
              <w:left w:val="nil"/>
              <w:bottom w:val="nil"/>
              <w:right w:val="nil"/>
            </w:tcBorders>
            <w:shd w:val="clear" w:color="auto" w:fill="FFFFFF"/>
            <w:vAlign w:val="center"/>
          </w:tcPr>
          <w:p w14:paraId="79E332F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围绕乡村医生管理办法优化、中医适宜技术推广机制及基层医疗机构标准化建设等六大议题展开深度讨论。</w:t>
            </w:r>
          </w:p>
        </w:tc>
        <w:tc>
          <w:tcPr>
            <w:tcW w:w="1176" w:type="dxa"/>
            <w:tcBorders>
              <w:top w:val="nil"/>
              <w:left w:val="nil"/>
              <w:bottom w:val="nil"/>
              <w:right w:val="nil"/>
            </w:tcBorders>
            <w:shd w:val="clear" w:color="auto" w:fill="FFFFFF"/>
            <w:vAlign w:val="center"/>
          </w:tcPr>
          <w:p w14:paraId="536149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医疗监督、临床医学、公共卫生等领域专家</w:t>
            </w:r>
          </w:p>
        </w:tc>
        <w:tc>
          <w:tcPr>
            <w:tcW w:w="846" w:type="dxa"/>
            <w:tcBorders>
              <w:top w:val="nil"/>
              <w:left w:val="nil"/>
              <w:bottom w:val="nil"/>
              <w:right w:val="nil"/>
            </w:tcBorders>
            <w:shd w:val="clear" w:color="auto" w:fill="FFFFFF"/>
            <w:vAlign w:val="center"/>
          </w:tcPr>
          <w:p w14:paraId="0C9563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default" w:ascii="宋体" w:hAnsi="宋体" w:eastAsia="宋体" w:cs="宋体"/>
                <w:b w:val="0"/>
                <w:i w:val="0"/>
                <w:iCs w:val="0"/>
                <w:color w:val="000000"/>
                <w:kern w:val="0"/>
                <w:sz w:val="18"/>
                <w:szCs w:val="18"/>
                <w:u w:val="none"/>
                <w:lang w:val="en-US" w:eastAsia="zh-CN" w:bidi="ar"/>
              </w:rPr>
              <w:t>10</w:t>
            </w:r>
          </w:p>
        </w:tc>
      </w:tr>
      <w:tr w14:paraId="0012D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56" w:type="dxa"/>
            <w:vMerge w:val="restart"/>
            <w:tcBorders>
              <w:top w:val="nil"/>
              <w:left w:val="nil"/>
              <w:bottom w:val="nil"/>
              <w:right w:val="nil"/>
            </w:tcBorders>
            <w:shd w:val="clear" w:color="auto" w:fill="EEF5FA" w:themeFill="accent1" w:themeFillTint="19"/>
            <w:vAlign w:val="center"/>
          </w:tcPr>
          <w:p w14:paraId="15EECC7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2025年商南县基层医疗卫生人员培训班</w:t>
            </w:r>
          </w:p>
        </w:tc>
        <w:tc>
          <w:tcPr>
            <w:tcW w:w="1536" w:type="dxa"/>
            <w:vMerge w:val="restart"/>
            <w:tcBorders>
              <w:top w:val="nil"/>
              <w:left w:val="nil"/>
              <w:bottom w:val="nil"/>
              <w:right w:val="nil"/>
            </w:tcBorders>
            <w:shd w:val="clear" w:color="auto" w:fill="EEF5FA" w:themeFill="accent1" w:themeFillTint="19"/>
            <w:vAlign w:val="center"/>
          </w:tcPr>
          <w:p w14:paraId="41AF033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vMerge w:val="restart"/>
            <w:tcBorders>
              <w:top w:val="nil"/>
              <w:left w:val="nil"/>
              <w:bottom w:val="nil"/>
              <w:right w:val="nil"/>
            </w:tcBorders>
            <w:shd w:val="clear" w:color="auto" w:fill="EEF5FA" w:themeFill="accent1" w:themeFillTint="19"/>
            <w:vAlign w:val="center"/>
          </w:tcPr>
          <w:p w14:paraId="34F7C0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3月13日</w:t>
            </w:r>
          </w:p>
        </w:tc>
        <w:tc>
          <w:tcPr>
            <w:tcW w:w="3216" w:type="dxa"/>
            <w:vMerge w:val="restart"/>
            <w:tcBorders>
              <w:top w:val="nil"/>
              <w:left w:val="nil"/>
              <w:bottom w:val="nil"/>
              <w:right w:val="nil"/>
            </w:tcBorders>
            <w:shd w:val="clear" w:color="auto" w:fill="EEF5FA" w:themeFill="accent1" w:themeFillTint="19"/>
            <w:vAlign w:val="center"/>
          </w:tcPr>
          <w:p w14:paraId="5083BAB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采取集中授课、案例分析、实操演练等多元化教学方式，内容涵盖基层医疗政策解读、全科诊疗规范、中医适宜技术等核心课程，着力补齐基层医疗卫生服务短板。</w:t>
            </w:r>
          </w:p>
        </w:tc>
        <w:tc>
          <w:tcPr>
            <w:tcW w:w="1176" w:type="dxa"/>
            <w:vMerge w:val="restart"/>
            <w:tcBorders>
              <w:top w:val="nil"/>
              <w:left w:val="nil"/>
              <w:bottom w:val="nil"/>
              <w:right w:val="nil"/>
            </w:tcBorders>
            <w:shd w:val="clear" w:color="auto" w:fill="EEF5FA" w:themeFill="accent1" w:themeFillTint="19"/>
            <w:vAlign w:val="center"/>
          </w:tcPr>
          <w:p w14:paraId="431D55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乡镇卫生院医务工作者</w:t>
            </w:r>
          </w:p>
        </w:tc>
        <w:tc>
          <w:tcPr>
            <w:tcW w:w="846" w:type="dxa"/>
            <w:vMerge w:val="restart"/>
            <w:tcBorders>
              <w:top w:val="nil"/>
              <w:left w:val="nil"/>
              <w:bottom w:val="nil"/>
              <w:right w:val="nil"/>
            </w:tcBorders>
            <w:shd w:val="clear" w:color="auto" w:fill="EEF5FA" w:themeFill="accent1" w:themeFillTint="19"/>
            <w:vAlign w:val="center"/>
          </w:tcPr>
          <w:p w14:paraId="071336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50</w:t>
            </w:r>
          </w:p>
        </w:tc>
      </w:tr>
      <w:tr w14:paraId="3A35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56" w:type="dxa"/>
            <w:vMerge w:val="restart"/>
            <w:tcBorders>
              <w:top w:val="nil"/>
              <w:left w:val="nil"/>
              <w:bottom w:val="nil"/>
              <w:right w:val="nil"/>
            </w:tcBorders>
            <w:shd w:val="clear" w:color="auto" w:fill="FFFFFF"/>
            <w:vAlign w:val="center"/>
          </w:tcPr>
          <w:p w14:paraId="586AA5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2025年度宝鸡市岐山县基本公共卫生服务项目暨业务培训班</w:t>
            </w:r>
          </w:p>
        </w:tc>
        <w:tc>
          <w:tcPr>
            <w:tcW w:w="1536" w:type="dxa"/>
            <w:vMerge w:val="restart"/>
            <w:tcBorders>
              <w:top w:val="nil"/>
              <w:left w:val="nil"/>
              <w:bottom w:val="nil"/>
              <w:right w:val="nil"/>
            </w:tcBorders>
            <w:shd w:val="clear" w:color="auto" w:fill="FFFFFF"/>
            <w:vAlign w:val="center"/>
          </w:tcPr>
          <w:p w14:paraId="0C5D3D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vMerge w:val="restart"/>
            <w:tcBorders>
              <w:top w:val="nil"/>
              <w:left w:val="nil"/>
              <w:bottom w:val="nil"/>
              <w:right w:val="nil"/>
            </w:tcBorders>
            <w:shd w:val="clear" w:color="auto" w:fill="FFFFFF"/>
            <w:vAlign w:val="center"/>
          </w:tcPr>
          <w:p w14:paraId="6518C1C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8月20日—8月25日</w:t>
            </w:r>
          </w:p>
        </w:tc>
        <w:tc>
          <w:tcPr>
            <w:tcW w:w="3216" w:type="dxa"/>
            <w:vMerge w:val="restart"/>
            <w:tcBorders>
              <w:top w:val="nil"/>
              <w:left w:val="nil"/>
              <w:bottom w:val="nil"/>
              <w:right w:val="nil"/>
            </w:tcBorders>
            <w:shd w:val="clear" w:color="auto" w:fill="FFFFFF"/>
            <w:vAlign w:val="center"/>
          </w:tcPr>
          <w:p w14:paraId="72DB458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围绕乡村医生管理办法优化、中医适宜技术推广机制及基层医疗机构标准化建设等</w:t>
            </w:r>
          </w:p>
        </w:tc>
        <w:tc>
          <w:tcPr>
            <w:tcW w:w="1176" w:type="dxa"/>
            <w:vMerge w:val="restart"/>
            <w:tcBorders>
              <w:top w:val="nil"/>
              <w:left w:val="nil"/>
              <w:bottom w:val="nil"/>
              <w:right w:val="nil"/>
            </w:tcBorders>
            <w:shd w:val="clear" w:color="auto" w:fill="FFFFFF"/>
            <w:vAlign w:val="center"/>
          </w:tcPr>
          <w:p w14:paraId="4FDE57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卫生院医务工作者</w:t>
            </w:r>
          </w:p>
        </w:tc>
        <w:tc>
          <w:tcPr>
            <w:tcW w:w="846" w:type="dxa"/>
            <w:vMerge w:val="restart"/>
            <w:tcBorders>
              <w:top w:val="nil"/>
              <w:left w:val="nil"/>
              <w:bottom w:val="nil"/>
              <w:right w:val="nil"/>
            </w:tcBorders>
            <w:shd w:val="clear" w:color="auto" w:fill="FFFFFF"/>
            <w:vAlign w:val="center"/>
          </w:tcPr>
          <w:p w14:paraId="5490F7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92</w:t>
            </w:r>
          </w:p>
        </w:tc>
      </w:tr>
      <w:tr w14:paraId="0A284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56" w:type="dxa"/>
            <w:vMerge w:val="restart"/>
            <w:tcBorders>
              <w:top w:val="nil"/>
              <w:left w:val="nil"/>
              <w:bottom w:val="nil"/>
              <w:right w:val="nil"/>
            </w:tcBorders>
            <w:shd w:val="clear" w:color="auto" w:fill="EEF5FA" w:themeFill="accent1" w:themeFillTint="19"/>
            <w:vAlign w:val="center"/>
          </w:tcPr>
          <w:p w14:paraId="2A3A0AB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山阳县中医适宜技术培训班第二期</w:t>
            </w:r>
          </w:p>
        </w:tc>
        <w:tc>
          <w:tcPr>
            <w:tcW w:w="1536" w:type="dxa"/>
            <w:vMerge w:val="restart"/>
            <w:tcBorders>
              <w:top w:val="nil"/>
              <w:left w:val="nil"/>
              <w:bottom w:val="nil"/>
              <w:right w:val="nil"/>
            </w:tcBorders>
            <w:shd w:val="clear" w:color="auto" w:fill="EEF5FA" w:themeFill="accent1" w:themeFillTint="19"/>
            <w:vAlign w:val="center"/>
          </w:tcPr>
          <w:p w14:paraId="46D0B3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vMerge w:val="restart"/>
            <w:tcBorders>
              <w:top w:val="nil"/>
              <w:left w:val="nil"/>
              <w:bottom w:val="nil"/>
              <w:right w:val="nil"/>
            </w:tcBorders>
            <w:shd w:val="clear" w:color="auto" w:fill="EEF5FA" w:themeFill="accent1" w:themeFillTint="19"/>
            <w:vAlign w:val="center"/>
          </w:tcPr>
          <w:p w14:paraId="58B133F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8月25日至9月1日</w:t>
            </w:r>
          </w:p>
        </w:tc>
        <w:tc>
          <w:tcPr>
            <w:tcW w:w="3216" w:type="dxa"/>
            <w:vMerge w:val="restart"/>
            <w:tcBorders>
              <w:top w:val="nil"/>
              <w:left w:val="nil"/>
              <w:bottom w:val="nil"/>
              <w:right w:val="nil"/>
            </w:tcBorders>
            <w:shd w:val="clear" w:color="auto" w:fill="EEF5FA" w:themeFill="accent1" w:themeFillTint="19"/>
            <w:vAlign w:val="center"/>
          </w:tcPr>
          <w:p w14:paraId="7C0E69F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采取集中授课、案例分析、实操演练等多元化教学方式，内容涵盖基层医疗政策解读、全科诊疗规范、中医适宜技术等核心课程</w:t>
            </w:r>
          </w:p>
        </w:tc>
        <w:tc>
          <w:tcPr>
            <w:tcW w:w="1176" w:type="dxa"/>
            <w:vMerge w:val="restart"/>
            <w:tcBorders>
              <w:top w:val="nil"/>
              <w:left w:val="nil"/>
              <w:bottom w:val="nil"/>
              <w:right w:val="nil"/>
            </w:tcBorders>
            <w:shd w:val="clear" w:color="auto" w:fill="EEF5FA" w:themeFill="accent1" w:themeFillTint="19"/>
            <w:vAlign w:val="center"/>
          </w:tcPr>
          <w:p w14:paraId="1BEA9E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卫生院医务工作者</w:t>
            </w:r>
          </w:p>
        </w:tc>
        <w:tc>
          <w:tcPr>
            <w:tcW w:w="846" w:type="dxa"/>
            <w:vMerge w:val="restart"/>
            <w:tcBorders>
              <w:top w:val="nil"/>
              <w:left w:val="nil"/>
              <w:bottom w:val="nil"/>
              <w:right w:val="nil"/>
            </w:tcBorders>
            <w:shd w:val="clear" w:color="auto" w:fill="EEF5FA" w:themeFill="accent1" w:themeFillTint="19"/>
            <w:vAlign w:val="center"/>
          </w:tcPr>
          <w:p w14:paraId="4BE1F99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60</w:t>
            </w:r>
          </w:p>
        </w:tc>
      </w:tr>
      <w:tr w14:paraId="25727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56" w:type="dxa"/>
            <w:vMerge w:val="restart"/>
            <w:tcBorders>
              <w:top w:val="nil"/>
              <w:left w:val="nil"/>
              <w:bottom w:val="nil"/>
              <w:right w:val="nil"/>
            </w:tcBorders>
            <w:shd w:val="clear" w:color="auto" w:fill="FFFFFF"/>
            <w:vAlign w:val="center"/>
          </w:tcPr>
          <w:p w14:paraId="0772F4D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基层中医适宜技术推广培训班</w:t>
            </w:r>
          </w:p>
        </w:tc>
        <w:tc>
          <w:tcPr>
            <w:tcW w:w="1536" w:type="dxa"/>
            <w:vMerge w:val="restart"/>
            <w:tcBorders>
              <w:top w:val="nil"/>
              <w:left w:val="nil"/>
              <w:bottom w:val="nil"/>
              <w:right w:val="nil"/>
            </w:tcBorders>
            <w:shd w:val="clear" w:color="auto" w:fill="FFFFFF"/>
            <w:vAlign w:val="center"/>
          </w:tcPr>
          <w:p w14:paraId="5B5CAE4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vMerge w:val="restart"/>
            <w:tcBorders>
              <w:top w:val="nil"/>
              <w:left w:val="nil"/>
              <w:bottom w:val="nil"/>
              <w:right w:val="nil"/>
            </w:tcBorders>
            <w:shd w:val="clear" w:color="auto" w:fill="FFFFFF"/>
            <w:vAlign w:val="center"/>
          </w:tcPr>
          <w:p w14:paraId="5384E00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10月24日—10月25日</w:t>
            </w:r>
          </w:p>
        </w:tc>
        <w:tc>
          <w:tcPr>
            <w:tcW w:w="3216" w:type="dxa"/>
            <w:vMerge w:val="restart"/>
            <w:tcBorders>
              <w:top w:val="nil"/>
              <w:left w:val="nil"/>
              <w:bottom w:val="nil"/>
              <w:right w:val="nil"/>
            </w:tcBorders>
            <w:shd w:val="clear" w:color="auto" w:fill="FFFFFF"/>
            <w:vAlign w:val="center"/>
          </w:tcPr>
          <w:p w14:paraId="4C3902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围绕乡村医生管理办法优化、中医适宜技术推广机制及基层医疗机构标准化建设等</w:t>
            </w:r>
          </w:p>
        </w:tc>
        <w:tc>
          <w:tcPr>
            <w:tcW w:w="1176" w:type="dxa"/>
            <w:vMerge w:val="restart"/>
            <w:tcBorders>
              <w:top w:val="nil"/>
              <w:left w:val="nil"/>
              <w:bottom w:val="nil"/>
              <w:right w:val="nil"/>
            </w:tcBorders>
            <w:shd w:val="clear" w:color="auto" w:fill="FFFFFF"/>
            <w:vAlign w:val="center"/>
          </w:tcPr>
          <w:p w14:paraId="1015A7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卫生院医务工作者</w:t>
            </w:r>
          </w:p>
        </w:tc>
        <w:tc>
          <w:tcPr>
            <w:tcW w:w="846" w:type="dxa"/>
            <w:vMerge w:val="restart"/>
            <w:tcBorders>
              <w:top w:val="nil"/>
              <w:left w:val="nil"/>
              <w:bottom w:val="nil"/>
              <w:right w:val="nil"/>
            </w:tcBorders>
            <w:shd w:val="clear" w:color="auto" w:fill="FFFFFF"/>
            <w:vAlign w:val="center"/>
          </w:tcPr>
          <w:p w14:paraId="1004BBF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100</w:t>
            </w:r>
          </w:p>
        </w:tc>
      </w:tr>
      <w:tr w14:paraId="6052D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56" w:type="dxa"/>
            <w:tcBorders>
              <w:top w:val="nil"/>
              <w:left w:val="nil"/>
              <w:bottom w:val="single" w:color="5B9BD5" w:themeColor="accent1" w:sz="6" w:space="0"/>
              <w:right w:val="nil"/>
            </w:tcBorders>
            <w:shd w:val="clear" w:color="auto" w:fill="EEF5FA" w:themeFill="accent1" w:themeFillTint="19"/>
            <w:vAlign w:val="center"/>
          </w:tcPr>
          <w:p w14:paraId="4BB2EAA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山阳县基层医疗卫生人员第三期培训班</w:t>
            </w:r>
          </w:p>
        </w:tc>
        <w:tc>
          <w:tcPr>
            <w:tcW w:w="1536" w:type="dxa"/>
            <w:tcBorders>
              <w:top w:val="nil"/>
              <w:left w:val="nil"/>
              <w:bottom w:val="single" w:color="5B9BD5" w:themeColor="accent1" w:sz="6" w:space="0"/>
              <w:right w:val="nil"/>
            </w:tcBorders>
            <w:shd w:val="clear" w:color="auto" w:fill="EEF5FA" w:themeFill="accent1" w:themeFillTint="19"/>
            <w:vAlign w:val="center"/>
          </w:tcPr>
          <w:p w14:paraId="75ABFF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西安医药科技职业学校承办</w:t>
            </w:r>
          </w:p>
        </w:tc>
        <w:tc>
          <w:tcPr>
            <w:tcW w:w="1176" w:type="dxa"/>
            <w:tcBorders>
              <w:top w:val="nil"/>
              <w:left w:val="nil"/>
              <w:bottom w:val="single" w:color="5B9BD5" w:themeColor="accent1" w:sz="6" w:space="0"/>
              <w:right w:val="nil"/>
            </w:tcBorders>
            <w:shd w:val="clear" w:color="auto" w:fill="EEF5FA" w:themeFill="accent1" w:themeFillTint="19"/>
            <w:vAlign w:val="center"/>
          </w:tcPr>
          <w:p w14:paraId="2A8465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10月25日至10月31日</w:t>
            </w:r>
          </w:p>
        </w:tc>
        <w:tc>
          <w:tcPr>
            <w:tcW w:w="3216" w:type="dxa"/>
            <w:tcBorders>
              <w:top w:val="nil"/>
              <w:left w:val="nil"/>
              <w:bottom w:val="single" w:color="5B9BD5" w:themeColor="accent1" w:sz="6" w:space="0"/>
              <w:right w:val="nil"/>
            </w:tcBorders>
            <w:shd w:val="clear" w:color="auto" w:fill="EEF5FA" w:themeFill="accent1" w:themeFillTint="19"/>
            <w:vAlign w:val="center"/>
          </w:tcPr>
          <w:p w14:paraId="69E9EF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采取集中授课、案例分析、实操演练等多元化教学方式，内容涵盖基层医疗政策解读、全科诊疗规范、中医适宜技术等核心课程</w:t>
            </w:r>
          </w:p>
        </w:tc>
        <w:tc>
          <w:tcPr>
            <w:tcW w:w="1176" w:type="dxa"/>
            <w:tcBorders>
              <w:top w:val="nil"/>
              <w:left w:val="nil"/>
              <w:bottom w:val="single" w:color="5B9BD5" w:themeColor="accent1" w:sz="6" w:space="0"/>
              <w:right w:val="nil"/>
            </w:tcBorders>
            <w:shd w:val="clear" w:color="auto" w:fill="EEF5FA" w:themeFill="accent1" w:themeFillTint="19"/>
            <w:vAlign w:val="center"/>
          </w:tcPr>
          <w:p w14:paraId="4E0765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卫生院医务工作者</w:t>
            </w:r>
          </w:p>
        </w:tc>
        <w:tc>
          <w:tcPr>
            <w:tcW w:w="846" w:type="dxa"/>
            <w:tcBorders>
              <w:top w:val="nil"/>
              <w:left w:val="nil"/>
              <w:bottom w:val="single" w:color="5B9BD5" w:themeColor="accent1" w:sz="6" w:space="0"/>
              <w:right w:val="nil"/>
            </w:tcBorders>
            <w:shd w:val="clear" w:color="auto" w:fill="EEF5FA" w:themeFill="accent1" w:themeFillTint="19"/>
            <w:vAlign w:val="center"/>
          </w:tcPr>
          <w:p w14:paraId="31B966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val="0"/>
                <w:i w:val="0"/>
                <w:iCs w:val="0"/>
                <w:color w:val="000000"/>
                <w:kern w:val="0"/>
                <w:sz w:val="18"/>
                <w:szCs w:val="18"/>
                <w:u w:val="none"/>
                <w:lang w:val="en-US" w:eastAsia="zh-CN" w:bidi="ar"/>
              </w:rPr>
            </w:pPr>
            <w:r>
              <w:rPr>
                <w:rFonts w:hint="eastAsia" w:ascii="宋体" w:hAnsi="宋体" w:eastAsia="宋体" w:cs="宋体"/>
                <w:b w:val="0"/>
                <w:i w:val="0"/>
                <w:iCs w:val="0"/>
                <w:color w:val="000000"/>
                <w:kern w:val="0"/>
                <w:sz w:val="18"/>
                <w:szCs w:val="18"/>
                <w:u w:val="none"/>
                <w:lang w:val="en-US" w:eastAsia="zh-CN" w:bidi="ar"/>
              </w:rPr>
              <w:t>42</w:t>
            </w:r>
          </w:p>
        </w:tc>
      </w:tr>
    </w:tbl>
    <w:p w14:paraId="40D82DCA">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rPr>
      </w:pPr>
      <w:bookmarkStart w:id="47" w:name="_Toc28914"/>
      <w:r>
        <w:rPr>
          <w:rFonts w:hint="default"/>
        </w:rPr>
        <w:t>3.</w:t>
      </w:r>
      <w:r>
        <w:rPr>
          <w:rFonts w:hint="eastAsia"/>
          <w:lang w:val="en-US" w:eastAsia="zh-CN"/>
        </w:rPr>
        <w:t>3</w:t>
      </w:r>
      <w:r>
        <w:rPr>
          <w:rFonts w:hint="default"/>
        </w:rPr>
        <w:t>服务乡村振兴</w:t>
      </w:r>
      <w:bookmarkEnd w:id="47"/>
    </w:p>
    <w:p w14:paraId="48AFF05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default"/>
          <w:lang w:val="en-US" w:eastAsia="zh-CN"/>
        </w:rPr>
        <w:t>充分发挥学校专业优势，开展乡村振兴服务工作。组织师生深入农村开展</w:t>
      </w:r>
      <w:r>
        <w:rPr>
          <w:rFonts w:hint="eastAsia"/>
          <w:lang w:val="en-US" w:eastAsia="zh-CN"/>
        </w:rPr>
        <w:t>职教宣传、技能展示</w:t>
      </w:r>
      <w:r>
        <w:rPr>
          <w:rFonts w:hint="default"/>
          <w:lang w:val="en-US" w:eastAsia="zh-CN"/>
        </w:rPr>
        <w:t>等活动</w:t>
      </w:r>
      <w:r>
        <w:rPr>
          <w:rFonts w:hint="eastAsia"/>
          <w:lang w:val="en-US" w:eastAsia="zh-CN"/>
        </w:rPr>
        <w:t>。本年度开展</w:t>
      </w:r>
      <w:r>
        <w:rPr>
          <w:rFonts w:hint="default"/>
          <w:lang w:val="en-US" w:eastAsia="zh-CN"/>
        </w:rPr>
        <w:t>“助力乡村振兴，送教下乡”活动帮助农民</w:t>
      </w:r>
      <w:r>
        <w:rPr>
          <w:rFonts w:hint="eastAsia"/>
          <w:lang w:val="en-US" w:eastAsia="zh-CN"/>
        </w:rPr>
        <w:t>了解</w:t>
      </w:r>
      <w:r>
        <w:rPr>
          <w:rFonts w:hint="default"/>
          <w:lang w:val="en-US" w:eastAsia="zh-CN"/>
        </w:rPr>
        <w:t>常见疾病预防和保健知识，增强村民们健康意识。</w:t>
      </w:r>
      <w:r>
        <w:rPr>
          <w:rFonts w:hint="eastAsia"/>
          <w:lang w:val="en-US" w:eastAsia="zh-CN"/>
        </w:rPr>
        <w:t>通过面对面健康宣讲、义诊服务和中医适宜技术推广，切实将医疗健康服务送到田间地头。每一次送教下乡，不仅是知识的传递，更是责任与使命的践行，在温暖互动中筑牢基层健康防线，以实际行动诠释医者仁心与教育担当，为乡村振兴注入持久而深沉的力量。</w:t>
      </w:r>
    </w:p>
    <w:p w14:paraId="0469A87A">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bookmarkStart w:id="48" w:name="_Toc31362"/>
      <w:r>
        <w:rPr>
          <w:rFonts w:hint="default"/>
        </w:rPr>
        <w:t>3.</w:t>
      </w:r>
      <w:r>
        <w:rPr>
          <w:rFonts w:hint="eastAsia"/>
          <w:lang w:val="en-US" w:eastAsia="zh-CN"/>
        </w:rPr>
        <w:t>4</w:t>
      </w:r>
      <w:r>
        <w:rPr>
          <w:rFonts w:hint="default"/>
        </w:rPr>
        <w:t>服务地方社区</w:t>
      </w:r>
      <w:bookmarkEnd w:id="48"/>
    </w:p>
    <w:p w14:paraId="0AF4C35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r>
        <w:rPr>
          <w:rFonts w:hint="eastAsia"/>
          <w:color w:val="000000" w:themeColor="text1"/>
          <w:lang w:eastAsia="zh-CN"/>
          <w14:textFill>
            <w14:solidFill>
              <w14:schemeClr w14:val="tx1"/>
            </w14:solidFill>
          </w14:textFill>
        </w:rPr>
        <w:t>为深化职业教育的宣传力度，增强服务民众的意识，并增进社区群众对学校专业的认知与认同，学校每年组织学生深入社区和养老院，开展涵盖义诊、推拿按摩及健康知识普及的志愿服务活动。本年度</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学校推出主题为</w:t>
      </w:r>
      <w:r>
        <w:rPr>
          <w:rFonts w:hint="eastAsia"/>
          <w:color w:val="000000" w:themeColor="text1"/>
          <w14:textFill>
            <w14:solidFill>
              <w14:schemeClr w14:val="tx1"/>
            </w14:solidFill>
          </w14:textFill>
        </w:rPr>
        <w:t>“三甲专家送健康，医科义诊暖人心”的大型公益义诊活动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特邀西安交通大学第二附属医院、西安国际医学中心医院、西电集团医院及西安济仁医院等多家三甲医院的15名专家教授</w:t>
      </w:r>
      <w:r>
        <w:rPr>
          <w:rFonts w:hint="eastAsia"/>
          <w:color w:val="000000" w:themeColor="text1"/>
          <w:lang w:eastAsia="zh-CN"/>
          <w14:textFill>
            <w14:solidFill>
              <w14:schemeClr w14:val="tx1"/>
            </w14:solidFill>
          </w14:textFill>
        </w:rPr>
        <w:t>亲临</w:t>
      </w:r>
      <w:r>
        <w:rPr>
          <w:rFonts w:hint="eastAsia"/>
          <w:color w:val="000000" w:themeColor="text1"/>
          <w14:textFill>
            <w14:solidFill>
              <w14:schemeClr w14:val="tx1"/>
            </w14:solidFill>
          </w14:textFill>
        </w:rPr>
        <w:t>坐诊，为当地居民提供免费健康服务。</w:t>
      </w:r>
    </w:p>
    <w:p w14:paraId="5D2891E1">
      <w:pPr>
        <w:pStyle w:val="10"/>
        <w:keepNext w:val="0"/>
        <w:keepLines w:val="0"/>
        <w:pageBreakBefore w:val="0"/>
        <w:widowControl w:val="0"/>
        <w:kinsoku/>
        <w:wordWrap/>
        <w:overflowPunct/>
        <w:topLinePunct w:val="0"/>
        <w:autoSpaceDE/>
        <w:autoSpaceDN/>
        <w:bidi w:val="0"/>
        <w:adjustRightInd/>
        <w:snapToGrid/>
        <w:spacing w:line="560" w:lineRule="exact"/>
        <w:ind w:firstLine="480" w:firstLineChars="200"/>
        <w:jc w:val="center"/>
        <w:textAlignment w:val="auto"/>
        <w:rPr>
          <w:rFonts w:hint="eastAsia"/>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drawing>
          <wp:anchor distT="0" distB="0" distL="114300" distR="114300" simplePos="0" relativeHeight="251671552" behindDoc="1" locked="0" layoutInCell="1" allowOverlap="1">
            <wp:simplePos x="0" y="0"/>
            <wp:positionH relativeFrom="column">
              <wp:posOffset>149860</wp:posOffset>
            </wp:positionH>
            <wp:positionV relativeFrom="paragraph">
              <wp:posOffset>92075</wp:posOffset>
            </wp:positionV>
            <wp:extent cx="5390515" cy="3239770"/>
            <wp:effectExtent l="0" t="0" r="38735" b="36830"/>
            <wp:wrapThrough wrapText="bothSides">
              <wp:wrapPolygon>
                <wp:start x="0" y="0"/>
                <wp:lineTo x="0" y="21465"/>
                <wp:lineTo x="21526" y="21465"/>
                <wp:lineTo x="21526" y="0"/>
                <wp:lineTo x="0" y="0"/>
              </wp:wrapPolygon>
            </wp:wrapThrough>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a:stretch>
                      <a:fillRect/>
                    </a:stretch>
                  </pic:blipFill>
                  <pic:spPr>
                    <a:xfrm>
                      <a:off x="0" y="0"/>
                      <a:ext cx="5390515" cy="3239770"/>
                    </a:xfrm>
                    <a:prstGeom prst="rect">
                      <a:avLst/>
                    </a:prstGeom>
                    <a:noFill/>
                    <a:ln w="9525">
                      <a:noFill/>
                    </a:ln>
                  </pic:spPr>
                </pic:pic>
              </a:graphicData>
            </a:graphic>
          </wp:anchor>
        </w:drawing>
      </w:r>
      <w:r>
        <w:rPr>
          <w:color w:val="000000" w:themeColor="text1"/>
          <w:sz w:val="24"/>
          <w:szCs w:val="24"/>
          <w14:textFill>
            <w14:solidFill>
              <w14:schemeClr w14:val="tx1"/>
            </w14:solidFill>
          </w14:textFill>
        </w:rPr>
        <w:t xml:space="preserve">图 </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SEQ 图 \* ARABIC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fldChar w:fldCharType="end"/>
      </w:r>
      <w:bookmarkStart w:id="49" w:name="_Toc27316"/>
      <w:bookmarkStart w:id="50" w:name="_Toc6960"/>
      <w:bookmarkStart w:id="51" w:name="_Toc15224"/>
      <w:bookmarkStart w:id="52" w:name="_Toc5545"/>
      <w:r>
        <w:rPr>
          <w:rFonts w:hint="eastAsia"/>
          <w:color w:val="000000" w:themeColor="text1"/>
          <w:sz w:val="24"/>
          <w:szCs w:val="24"/>
          <w:lang w:eastAsia="zh-CN"/>
          <w14:textFill>
            <w14:solidFill>
              <w14:schemeClr w14:val="tx1"/>
            </w14:solidFill>
          </w14:textFill>
        </w:rPr>
        <w:t>：</w:t>
      </w:r>
      <w:bookmarkEnd w:id="49"/>
      <w:bookmarkEnd w:id="50"/>
      <w:bookmarkEnd w:id="51"/>
      <w:r>
        <w:rPr>
          <w:rFonts w:hint="eastAsia"/>
          <w:color w:val="000000" w:themeColor="text1"/>
          <w:sz w:val="24"/>
          <w:szCs w:val="24"/>
          <w:lang w:eastAsia="zh-CN"/>
          <w14:textFill>
            <w14:solidFill>
              <w14:schemeClr w14:val="tx1"/>
            </w14:solidFill>
          </w14:textFill>
        </w:rPr>
        <w:t>三甲专家送健康，医科义诊暖人心</w:t>
      </w:r>
      <w:bookmarkEnd w:id="52"/>
    </w:p>
    <w:p w14:paraId="1C80FAAF">
      <w:pPr>
        <w:pStyle w:val="10"/>
        <w:bidi w:val="0"/>
        <w:rPr>
          <w:rFonts w:hint="eastAsia"/>
          <w:color w:val="000000" w:themeColor="text1"/>
          <w:sz w:val="22"/>
          <w:szCs w:val="24"/>
          <w:lang w:val="en-US" w:eastAsia="zh-CN"/>
          <w14:textFill>
            <w14:solidFill>
              <w14:schemeClr w14:val="tx1"/>
            </w14:solidFill>
          </w14:textFill>
        </w:rPr>
      </w:pPr>
      <w:r>
        <w:rPr>
          <w:rFonts w:hint="eastAsia"/>
          <w:color w:val="000000" w:themeColor="text1"/>
          <w:sz w:val="22"/>
          <w:szCs w:val="24"/>
          <w:lang w:val="en-US" w:eastAsia="zh-CN"/>
          <w14:textFill>
            <w14:solidFill>
              <w14:schemeClr w14:val="tx1"/>
            </w14:solidFill>
          </w14:textFill>
        </w:rPr>
        <w:t>2025年6月10日，学校举办了“三甲专家送健康，医科义诊暖人心”的大型公益义诊活动。本次活动特邀西安交通大学第二附属医院、西安国际医学中心医院、西电集团医院及西安济仁医院等多家三甲医院的15名专家教授坐诊，累计为近400名群众提供了专业的诊疗和健康建议，受到广泛欢迎。</w:t>
      </w:r>
    </w:p>
    <w:p w14:paraId="4A15EFC3">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rPr>
      </w:pPr>
      <w:bookmarkStart w:id="53" w:name="_Toc16040"/>
      <w:r>
        <w:rPr>
          <w:rFonts w:hint="default"/>
        </w:rPr>
        <w:t>3.</w:t>
      </w:r>
      <w:r>
        <w:rPr>
          <w:rFonts w:hint="eastAsia"/>
          <w:lang w:val="en-US" w:eastAsia="zh-CN"/>
        </w:rPr>
        <w:t>5</w:t>
      </w:r>
      <w:r>
        <w:rPr>
          <w:rFonts w:hint="default"/>
        </w:rPr>
        <w:t>具有地域特色的服务</w:t>
      </w:r>
      <w:bookmarkEnd w:id="53"/>
    </w:p>
    <w:p w14:paraId="1DB2F7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依托学校所在地的地域特色，开展具有地方特色的专项服务项目。</w:t>
      </w:r>
      <w:r>
        <w:rPr>
          <w:rFonts w:hint="eastAsia"/>
          <w:color w:val="000000" w:themeColor="text1"/>
          <w:lang w:eastAsia="zh-CN"/>
          <w14:textFill>
            <w14:solidFill>
              <w14:schemeClr w14:val="tx1"/>
            </w14:solidFill>
          </w14:textFill>
        </w:rPr>
        <w:t>学校</w:t>
      </w:r>
      <w:r>
        <w:rPr>
          <w:rFonts w:hint="eastAsia"/>
          <w:color w:val="000000" w:themeColor="text1"/>
          <w14:textFill>
            <w14:solidFill>
              <w14:schemeClr w14:val="tx1"/>
            </w14:solidFill>
          </w14:textFill>
        </w:rPr>
        <w:t>积极参与由西安市鄠邑区人力资源和社会保障局主办的“鄠邑区2025送岗到家门，就业暖人心招聘会”。作为西安市市级劳务品牌“鄠邑康养师”的引领单位，</w:t>
      </w:r>
      <w:r>
        <w:rPr>
          <w:rFonts w:hint="eastAsia"/>
          <w:color w:val="000000" w:themeColor="text1"/>
          <w:lang w:eastAsia="zh-CN"/>
          <w14:textFill>
            <w14:solidFill>
              <w14:schemeClr w14:val="tx1"/>
            </w14:solidFill>
          </w14:textFill>
        </w:rPr>
        <w:t>学校</w:t>
      </w:r>
      <w:r>
        <w:rPr>
          <w:rFonts w:hint="eastAsia"/>
          <w:color w:val="000000" w:themeColor="text1"/>
          <w14:textFill>
            <w14:solidFill>
              <w14:schemeClr w14:val="tx1"/>
            </w14:solidFill>
          </w14:textFill>
        </w:rPr>
        <w:t>积极</w:t>
      </w:r>
      <w:r>
        <w:rPr>
          <w:rFonts w:hint="eastAsia"/>
          <w:color w:val="000000" w:themeColor="text1"/>
          <w:lang w:eastAsia="zh-CN"/>
          <w14:textFill>
            <w14:solidFill>
              <w14:schemeClr w14:val="tx1"/>
            </w14:solidFill>
          </w14:textFill>
        </w:rPr>
        <w:t>响应号召</w:t>
      </w:r>
      <w:r>
        <w:rPr>
          <w:rFonts w:hint="eastAsia"/>
          <w:color w:val="000000" w:themeColor="text1"/>
          <w14:textFill>
            <w14:solidFill>
              <w14:schemeClr w14:val="tx1"/>
            </w14:solidFill>
          </w14:textFill>
        </w:rPr>
        <w:t>，组织学生参与此次活动，并设立公益义诊服务区，将专业康复服务送到群众家门口。</w:t>
      </w:r>
    </w:p>
    <w:p w14:paraId="690E701E">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54" w:name="_Toc7464"/>
      <w:r>
        <w:rPr>
          <w:rFonts w:hint="default"/>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6</w:t>
      </w:r>
      <w:r>
        <w:rPr>
          <w:rFonts w:hint="default"/>
          <w:color w:val="000000" w:themeColor="text1"/>
          <w14:textFill>
            <w14:solidFill>
              <w14:schemeClr w14:val="tx1"/>
            </w14:solidFill>
          </w14:textFill>
        </w:rPr>
        <w:t>具有本校特色的服务</w:t>
      </w:r>
      <w:bookmarkEnd w:id="54"/>
    </w:p>
    <w:p w14:paraId="21C9645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为大力宣传劳模精神、劳动精神、工匠精神，弘扬劳动光荣、技能宝贵、创造伟大的时代风尚，积极宣传职业教育“前途广阔、大有可为”的光明发展前景，学校每年组织校园开放日活动，邀请家长、学生、群众入校参观体验。校园开放日活动不仅展示学校专业特色，加大社会对职业教育的认识，更充分展示出学生良好的技能水平，进一步激发学生的学习积极性，提升大家的岗位认知，增强职业自信，为学生的实习就业和成长成才奠定坚实基础。</w:t>
      </w:r>
    </w:p>
    <w:p w14:paraId="2EF22D55">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eastAsia="仿宋_GB2312"/>
          <w:sz w:val="32"/>
          <w:szCs w:val="40"/>
          <w:lang w:eastAsia="zh-CN"/>
        </w:rPr>
      </w:pPr>
      <w:r>
        <w:rPr>
          <w:sz w:val="28"/>
          <w:szCs w:val="36"/>
        </w:rPr>
        <w:t xml:space="preserve">案例 </w:t>
      </w:r>
      <w:r>
        <w:rPr>
          <w:sz w:val="28"/>
          <w:szCs w:val="36"/>
        </w:rPr>
        <w:fldChar w:fldCharType="begin"/>
      </w:r>
      <w:r>
        <w:rPr>
          <w:sz w:val="28"/>
          <w:szCs w:val="36"/>
        </w:rPr>
        <w:instrText xml:space="preserve"> SEQ 案例 \* ARABIC </w:instrText>
      </w:r>
      <w:r>
        <w:rPr>
          <w:sz w:val="28"/>
          <w:szCs w:val="36"/>
        </w:rPr>
        <w:fldChar w:fldCharType="separate"/>
      </w:r>
      <w:r>
        <w:rPr>
          <w:sz w:val="28"/>
          <w:szCs w:val="36"/>
        </w:rPr>
        <w:t>2</w:t>
      </w:r>
      <w:r>
        <w:rPr>
          <w:sz w:val="28"/>
          <w:szCs w:val="36"/>
        </w:rPr>
        <w:fldChar w:fldCharType="end"/>
      </w:r>
      <w:bookmarkStart w:id="55" w:name="_Toc7617"/>
      <w:r>
        <w:rPr>
          <w:rFonts w:hint="eastAsia"/>
          <w:sz w:val="28"/>
          <w:szCs w:val="36"/>
          <w:lang w:eastAsia="zh-CN"/>
        </w:rPr>
        <w:t xml:space="preserve">：3-1公益义诊活动案例 </w:t>
      </w:r>
      <w:r>
        <w:rPr>
          <w:rFonts w:hint="eastAsia"/>
          <w:sz w:val="32"/>
          <w:szCs w:val="40"/>
          <w:lang w:eastAsia="zh-CN"/>
        </w:rPr>
        <w:t xml:space="preserve"> </w:t>
      </w:r>
      <w:bookmarkEnd w:id="55"/>
    </w:p>
    <w:p w14:paraId="70F29A6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年度，学校组织开展了多场“公益义诊走进群众”系列活动，覆盖校际义诊、社区义诊、乡村义诊等多个场景，将健康服务送到群众家门口。活动期间，师生团队联合三甲医院专家深入华星初级中学、鄠邑区多个街道，为师生、居民提供一对一问诊、心理疏导、血压血糖检测、中医理疗、慢性病咨询等服务，累计服务超800人次，发放健康宣教资料千余份，有效提升了基层群众的健康意识和防病能力。义诊活动受到社区居民广泛好评，多名老人表示在家门口就能享受到专业医疗服务，切实解决了就医不便的难题。师生在实践中提升了专业技能，增强了社会责任感，进一步彰显了职业教育服务地方发展的功能。通过系列义诊活动，学校不仅搭建了理论与实践融合的教学平台，更深化了产教协同、服务民生的办学理念。师生团队在真实诊疗场景中强化专业能力，将课堂所学转化为惠民实效，展现了“鄠邑康养师”品牌建设的阶段性成果。活动进一步推动职业教育与乡村振兴、健康中国等国家战略同频共振，彰显了技能人才在基层社会治理中的积极作用。</w:t>
      </w:r>
    </w:p>
    <w:p w14:paraId="1743AFC6">
      <w:pPr>
        <w:pStyle w:val="2"/>
        <w:keepNext w:val="0"/>
        <w:keepLines w:val="0"/>
        <w:pageBreakBefore w:val="0"/>
        <w:widowControl w:val="0"/>
        <w:kinsoku/>
        <w:wordWrap/>
        <w:overflowPunct/>
        <w:topLinePunct w:val="0"/>
        <w:autoSpaceDE/>
        <w:autoSpaceDN/>
        <w:bidi w:val="0"/>
        <w:adjustRightInd/>
        <w:snapToGrid/>
        <w:spacing w:line="560" w:lineRule="exact"/>
        <w:ind w:left="640" w:leftChars="200" w:firstLine="0" w:firstLineChars="0"/>
        <w:textAlignment w:val="auto"/>
        <w:rPr>
          <w:rFonts w:hint="eastAsia"/>
          <w:color w:val="000000" w:themeColor="text1"/>
          <w:lang w:eastAsia="zh-CN"/>
          <w14:textFill>
            <w14:solidFill>
              <w14:schemeClr w14:val="tx1"/>
            </w14:solidFill>
          </w14:textFill>
        </w:rPr>
      </w:pPr>
      <w:bookmarkStart w:id="56" w:name="_Toc22656"/>
      <w:r>
        <w:rPr>
          <w:rFonts w:hint="default"/>
          <w:color w:val="000000" w:themeColor="text1"/>
          <w14:textFill>
            <w14:solidFill>
              <w14:schemeClr w14:val="tx1"/>
            </w14:solidFill>
          </w14:textFill>
        </w:rPr>
        <w:t>4.文化传承</w:t>
      </w:r>
      <w:bookmarkEnd w:id="56"/>
    </w:p>
    <w:p w14:paraId="1381B3F8">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57" w:name="_Toc23260"/>
      <w:r>
        <w:rPr>
          <w:rFonts w:hint="default"/>
          <w:color w:val="000000" w:themeColor="text1"/>
          <w14:textFill>
            <w14:solidFill>
              <w14:schemeClr w14:val="tx1"/>
            </w14:solidFill>
          </w14:textFill>
        </w:rPr>
        <w:t>4.1传承工匠精神</w:t>
      </w:r>
      <w:bookmarkEnd w:id="57"/>
    </w:p>
    <w:p w14:paraId="42A9A2F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围绕“执着专注、精益求精、一丝不苟、追求卓越”的工匠精神核心内涵，系统开展主题教育活动。开设“大师讲堂”，邀请行业劳模、技术能手、杰出校友走进校园，分享匠心成长故事；在专业实训环节全面推行“7S”管理标准，锤炼规范意识与质量观念；举办校级技能大赛，组织技能比武擂台与优秀作品展，大力弘扬“崇尚技能、尊重工匠”的校园风尚。将工匠精神培育深度融入学生职业素养评价体系，引领青年学子根植正确的职业价值观。</w:t>
      </w:r>
    </w:p>
    <w:p w14:paraId="4134258B">
      <w:pPr>
        <w:bidi w:val="0"/>
        <w:rPr>
          <w:rFonts w:hint="eastAsia" w:ascii="Arial" w:hAnsi="Arial" w:eastAsia="黑体" w:cs="仿宋_GB2312"/>
          <w:kern w:val="2"/>
          <w:sz w:val="24"/>
          <w:szCs w:val="32"/>
          <w:lang w:val="en-US" w:eastAsia="zh-CN"/>
        </w:rPr>
      </w:pPr>
      <w:r>
        <w:rPr>
          <w:rFonts w:hint="default" w:ascii="Arial" w:hAnsi="Arial" w:eastAsia="黑体" w:cs="仿宋_GB2312"/>
          <w:kern w:val="2"/>
          <w:sz w:val="24"/>
          <w:szCs w:val="32"/>
          <w:lang w:val="en-US" w:eastAsia="zh-CN"/>
        </w:rPr>
        <w:drawing>
          <wp:anchor distT="0" distB="0" distL="114300" distR="114300" simplePos="0" relativeHeight="251674624" behindDoc="1" locked="0" layoutInCell="1" allowOverlap="1">
            <wp:simplePos x="0" y="0"/>
            <wp:positionH relativeFrom="column">
              <wp:posOffset>454025</wp:posOffset>
            </wp:positionH>
            <wp:positionV relativeFrom="paragraph">
              <wp:posOffset>135255</wp:posOffset>
            </wp:positionV>
            <wp:extent cx="4996815" cy="2831465"/>
            <wp:effectExtent l="0" t="0" r="13335" b="6985"/>
            <wp:wrapThrough wrapText="bothSides">
              <wp:wrapPolygon>
                <wp:start x="0" y="0"/>
                <wp:lineTo x="0" y="21508"/>
                <wp:lineTo x="21493" y="21508"/>
                <wp:lineTo x="21493" y="0"/>
                <wp:lineTo x="0" y="0"/>
              </wp:wrapPolygon>
            </wp:wrapThrough>
            <wp:docPr id="6" name="图片 6" descr="1765177512306-bueBzR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65177512306-bueBzRyD"/>
                    <pic:cNvPicPr>
                      <a:picLocks noChangeAspect="1"/>
                    </pic:cNvPicPr>
                  </pic:nvPicPr>
                  <pic:blipFill>
                    <a:blip r:embed="rId21"/>
                    <a:stretch>
                      <a:fillRect/>
                    </a:stretch>
                  </pic:blipFill>
                  <pic:spPr>
                    <a:xfrm>
                      <a:off x="0" y="0"/>
                      <a:ext cx="4996815" cy="2831465"/>
                    </a:xfrm>
                    <a:prstGeom prst="rect">
                      <a:avLst/>
                    </a:prstGeom>
                  </pic:spPr>
                </pic:pic>
              </a:graphicData>
            </a:graphic>
          </wp:anchor>
        </w:drawing>
      </w:r>
    </w:p>
    <w:p w14:paraId="45F74592">
      <w:pPr>
        <w:pStyle w:val="10"/>
        <w:bidi w:val="0"/>
        <w:jc w:val="center"/>
        <w:rPr>
          <w:rFonts w:hint="eastAsia"/>
          <w:lang w:val="en-US" w:eastAsia="zh-CN"/>
        </w:rPr>
      </w:pPr>
      <w:r>
        <w:rPr>
          <w:rFonts w:hint="eastAsia"/>
          <w:lang w:val="en-US" w:eastAsia="zh-CN"/>
        </w:rPr>
        <w:t xml:space="preserve">图 </w:t>
      </w:r>
      <w:r>
        <w:rPr>
          <w:rFonts w:hint="eastAsia"/>
          <w:lang w:val="en-US" w:eastAsia="zh-CN"/>
        </w:rPr>
        <w:fldChar w:fldCharType="begin"/>
      </w:r>
      <w:r>
        <w:rPr>
          <w:rFonts w:hint="eastAsia"/>
          <w:lang w:val="en-US" w:eastAsia="zh-CN"/>
        </w:rPr>
        <w:instrText xml:space="preserve"> SEQ 图 \* ARABIC </w:instrText>
      </w:r>
      <w:r>
        <w:rPr>
          <w:rFonts w:hint="eastAsia"/>
          <w:lang w:val="en-US" w:eastAsia="zh-CN"/>
        </w:rPr>
        <w:fldChar w:fldCharType="separate"/>
      </w:r>
      <w:r>
        <w:rPr>
          <w:rFonts w:hint="eastAsia"/>
          <w:lang w:val="en-US" w:eastAsia="zh-CN"/>
        </w:rPr>
        <w:t>5</w:t>
      </w:r>
      <w:r>
        <w:rPr>
          <w:rFonts w:hint="eastAsia"/>
          <w:lang w:val="en-US" w:eastAsia="zh-CN"/>
        </w:rPr>
        <w:fldChar w:fldCharType="end"/>
      </w:r>
      <w:bookmarkStart w:id="58" w:name="_Toc20383"/>
      <w:r>
        <w:rPr>
          <w:rFonts w:hint="eastAsia"/>
          <w:lang w:val="en-US" w:eastAsia="zh-CN"/>
        </w:rPr>
        <w:t>：赴照金革命旧址研学实践</w:t>
      </w:r>
      <w:bookmarkEnd w:id="58"/>
    </w:p>
    <w:p w14:paraId="20998908">
      <w:pPr>
        <w:pStyle w:val="10"/>
        <w:bidi w:val="0"/>
        <w:rPr>
          <w:rFonts w:hint="default"/>
        </w:rPr>
      </w:pPr>
      <w:r>
        <w:rPr>
          <w:rFonts w:hint="eastAsia"/>
          <w:lang w:eastAsia="zh-CN"/>
        </w:rPr>
        <w:t>在照金革命根据地纪念馆，学生们认真聆听讲解员讲述陕甘边革命斗争史，驻足观看历史照片与实物展陈，深刻感悟先辈们不畏艰难、英勇奉献的革命精神。</w:t>
      </w:r>
    </w:p>
    <w:p w14:paraId="46E6535A">
      <w:pPr>
        <w:pStyle w:val="3"/>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color w:val="000000" w:themeColor="text1"/>
          <w14:textFill>
            <w14:solidFill>
              <w14:schemeClr w14:val="tx1"/>
            </w14:solidFill>
          </w14:textFill>
        </w:rPr>
      </w:pPr>
      <w:bookmarkStart w:id="59" w:name="_Toc19405"/>
      <w:r>
        <w:rPr>
          <w:rFonts w:hint="default"/>
          <w:color w:val="000000" w:themeColor="text1"/>
          <w14:textFill>
            <w14:solidFill>
              <w14:schemeClr w14:val="tx1"/>
            </w14:solidFill>
          </w14:textFill>
        </w:rPr>
        <w:t>4.2传承红色基因</w:t>
      </w:r>
      <w:bookmarkEnd w:id="59"/>
    </w:p>
    <w:p w14:paraId="03052166">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Arial" w:hAnsi="Arial" w:eastAsia="黑体" w:cs="仿宋_GB2312"/>
          <w:kern w:val="2"/>
          <w:sz w:val="24"/>
          <w:szCs w:val="32"/>
          <w:lang w:val="en-US" w:eastAsia="zh-CN"/>
        </w:rPr>
      </w:pPr>
      <w:r>
        <w:rPr>
          <w:rFonts w:hint="eastAsia"/>
        </w:rPr>
        <w:t>依托陕西丰富的红色资源，深入开展红色教育和爱国主义实践。组织学生赴照金革命旧址开展研学实践，</w:t>
      </w:r>
      <w:r>
        <w:rPr>
          <w:rFonts w:hint="eastAsia"/>
          <w:lang w:eastAsia="zh-CN"/>
        </w:rPr>
        <w:t>亲身</w:t>
      </w:r>
      <w:r>
        <w:rPr>
          <w:rFonts w:hint="eastAsia"/>
        </w:rPr>
        <w:t>重温革命历史。</w:t>
      </w:r>
      <w:r>
        <w:rPr>
          <w:rFonts w:hint="eastAsia"/>
          <w:lang w:eastAsia="zh-CN"/>
        </w:rPr>
        <w:t>举办“红色故事会”“红色经典诵读”等主题展览活动。</w:t>
      </w:r>
      <w:r>
        <w:rPr>
          <w:rFonts w:hint="eastAsia"/>
        </w:rPr>
        <w:t>利用重要纪念日、升旗仪式等契机，开展沉浸式爱国主义教育。</w:t>
      </w:r>
      <w:r>
        <w:rPr>
          <w:rFonts w:hint="eastAsia"/>
          <w:lang w:eastAsia="zh-CN"/>
        </w:rPr>
        <w:t>通过这些系列教育活动，筑牢学生理想信念根基，激发其爱国热情和报国之志。</w:t>
      </w:r>
    </w:p>
    <w:p w14:paraId="0C3655F5">
      <w:pPr>
        <w:pStyle w:val="3"/>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color w:val="000000" w:themeColor="text1"/>
          <w14:textFill>
            <w14:solidFill>
              <w14:schemeClr w14:val="tx1"/>
            </w14:solidFill>
          </w14:textFill>
        </w:rPr>
      </w:pPr>
      <w:bookmarkStart w:id="60" w:name="_Toc4442"/>
      <w:r>
        <w:rPr>
          <w:rFonts w:hint="default"/>
          <w:color w:val="000000" w:themeColor="text1"/>
          <w14:textFill>
            <w14:solidFill>
              <w14:schemeClr w14:val="tx1"/>
            </w14:solidFill>
          </w14:textFill>
        </w:rPr>
        <w:t>4.3传承中华优秀传统文化</w:t>
      </w:r>
      <w:bookmarkEnd w:id="60"/>
    </w:p>
    <w:p w14:paraId="4E79221F">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lang w:val="en-US" w:eastAsia="zh-CN"/>
        </w:rPr>
      </w:pPr>
      <w:r>
        <w:rPr>
          <w:rFonts w:hint="eastAsia"/>
          <w:lang w:val="en-US" w:eastAsia="zh-CN"/>
        </w:rPr>
        <w:t>将中华优秀传统文化教育融入公共基础课程体系，设置《中华传统文化》《经典诵读》等模块。常态化开展“我们的节日”主题活动，结合春节、清明、端午、中秋等传统节日，举办民俗体验、文化讲座、文艺展演。成立书法、国画、剪纸等传统文化类学生社团，定期开展活动，丰富学生文化生活，增强文化认同与文化自信。</w:t>
      </w:r>
    </w:p>
    <w:p w14:paraId="496C6890">
      <w:pPr>
        <w:pStyle w:val="3"/>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lang w:val="en-US" w:eastAsia="zh-CN"/>
        </w:rPr>
      </w:pPr>
      <w:bookmarkStart w:id="61" w:name="_Toc13891"/>
      <w:r>
        <w:rPr>
          <w:rFonts w:hint="eastAsia"/>
          <w:lang w:val="en-US" w:eastAsia="zh-CN"/>
        </w:rPr>
        <w:t>4.4传承地方特色文化与校史文化</w:t>
      </w:r>
      <w:bookmarkEnd w:id="61"/>
    </w:p>
    <w:p w14:paraId="66490A51">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lang w:val="en-US" w:eastAsia="zh-CN"/>
        </w:rPr>
      </w:pPr>
      <w:r>
        <w:rPr>
          <w:rFonts w:hint="eastAsia"/>
          <w:lang w:val="en-US" w:eastAsia="zh-CN"/>
        </w:rPr>
        <w:t>结合学校所在地域特色，积极开展地方非物质文化遗产的传承教育。例如，引入康复大师成立工作室，聘请非遗传承人担任兼职教师。同时，加强校史校情教育，开展“校史我来讲”等活动，挖掘学校发展历程中的奋斗精神和育人故事，增强学生的归属感和荣誉感。</w:t>
      </w:r>
    </w:p>
    <w:p w14:paraId="4F597F87">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eastAsia="仿宋_GB2312"/>
          <w:sz w:val="28"/>
          <w:szCs w:val="36"/>
          <w:lang w:val="en-US" w:eastAsia="zh-CN"/>
        </w:rPr>
      </w:pPr>
      <w:r>
        <w:rPr>
          <w:sz w:val="28"/>
          <w:szCs w:val="36"/>
        </w:rPr>
        <w:t xml:space="preserve">案例 </w:t>
      </w:r>
      <w:r>
        <w:rPr>
          <w:sz w:val="28"/>
          <w:szCs w:val="36"/>
        </w:rPr>
        <w:fldChar w:fldCharType="begin"/>
      </w:r>
      <w:r>
        <w:rPr>
          <w:sz w:val="28"/>
          <w:szCs w:val="36"/>
        </w:rPr>
        <w:instrText xml:space="preserve"> SEQ 案例 \* ARABIC </w:instrText>
      </w:r>
      <w:r>
        <w:rPr>
          <w:sz w:val="28"/>
          <w:szCs w:val="36"/>
        </w:rPr>
        <w:fldChar w:fldCharType="separate"/>
      </w:r>
      <w:r>
        <w:rPr>
          <w:sz w:val="28"/>
          <w:szCs w:val="36"/>
        </w:rPr>
        <w:t>3</w:t>
      </w:r>
      <w:r>
        <w:rPr>
          <w:sz w:val="28"/>
          <w:szCs w:val="36"/>
        </w:rPr>
        <w:fldChar w:fldCharType="end"/>
      </w:r>
      <w:bookmarkStart w:id="62" w:name="_Toc6350"/>
      <w:r>
        <w:rPr>
          <w:rFonts w:hint="eastAsia"/>
          <w:sz w:val="28"/>
          <w:szCs w:val="36"/>
          <w:lang w:eastAsia="zh-CN"/>
        </w:rPr>
        <w:t>：4-1践行红色基地，赋能学生茁壮成长</w:t>
      </w:r>
      <w:bookmarkEnd w:id="62"/>
    </w:p>
    <w:p w14:paraId="2F4A0283">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lang w:val="en-US" w:eastAsia="zh-CN"/>
        </w:rPr>
      </w:pPr>
      <w:r>
        <w:rPr>
          <w:rFonts w:hint="eastAsia"/>
          <w:lang w:val="en-US" w:eastAsia="zh-CN"/>
        </w:rPr>
        <w:t>医药科技职业学校精心组织学生前往铜川市药王山景区开展参观研学活动。在深入领略药王孙思邈中医药文化底蕴的同时，学校巧妙地将香包制作这一传统技艺融入中医康复、药剂等相关专业的实践教学环节，引导学生亲手参与配药、选料、成型的完整流程。在教师的悉心指导下，同学们全情投入非遗产品的创新设计与制作，不仅娴熟掌握了这一珍贵传统技艺，更在反复打磨中深刻领悟到精益求精、持之以恒的工匠精神精髓。学校带领学生深入社区与景区，开展非遗文化的宣传、展示与义卖活动，让学生在真实社会场景中传播中医药文化，深化互动体验。这一系列活动不仅激发了学生保护与传承传统文化的责任感和使命感，更显著提升了其审美素养、创新能力与市场意识，成功实现了文化传承、技能培养与职业发展的深度融合。</w:t>
      </w:r>
    </w:p>
    <w:p w14:paraId="2D42EA9C">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color w:val="000000" w:themeColor="text1"/>
          <w14:textFill>
            <w14:solidFill>
              <w14:schemeClr w14:val="tx1"/>
            </w14:solidFill>
          </w14:textFill>
        </w:rPr>
      </w:pPr>
      <w:bookmarkStart w:id="63" w:name="_Toc27337"/>
      <w:r>
        <w:rPr>
          <w:rFonts w:hint="default"/>
          <w:color w:val="000000" w:themeColor="text1"/>
          <w14:textFill>
            <w14:solidFill>
              <w14:schemeClr w14:val="tx1"/>
            </w14:solidFill>
          </w14:textFill>
        </w:rPr>
        <w:t>5.国际合作</w:t>
      </w:r>
      <w:bookmarkEnd w:id="63"/>
    </w:p>
    <w:p w14:paraId="14AAB4E9">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学校始终坚持开放发展，不断探索国际合作办学渠道，搭建国际办学平台。国际合作不仅能提升学校层次，还能给学生提供优质教育资源的机会，使教职员工具有更加开放、包容的国际化教学理念和视野。目前，学校国际合作办学方面还处于探索阶段，学校将不懈努力，将医药卫生行业人才推向国际，走出国门。</w:t>
      </w:r>
    </w:p>
    <w:p w14:paraId="1B480C8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color w:val="000000" w:themeColor="text1"/>
          <w14:textFill>
            <w14:solidFill>
              <w14:schemeClr w14:val="tx1"/>
            </w14:solidFill>
          </w14:textFill>
        </w:rPr>
      </w:pPr>
      <w:bookmarkStart w:id="64" w:name="_Toc6056"/>
      <w:r>
        <w:rPr>
          <w:rFonts w:hint="eastAsia"/>
          <w:color w:val="000000" w:themeColor="text1"/>
          <w:lang w:val="en-US" w:eastAsia="zh-CN"/>
          <w14:textFill>
            <w14:solidFill>
              <w14:schemeClr w14:val="tx1"/>
            </w14:solidFill>
          </w14:textFill>
        </w:rPr>
        <w:t>6.</w:t>
      </w:r>
      <w:r>
        <w:rPr>
          <w:rFonts w:hint="default"/>
          <w:color w:val="000000" w:themeColor="text1"/>
          <w14:textFill>
            <w14:solidFill>
              <w14:schemeClr w14:val="tx1"/>
            </w14:solidFill>
          </w14:textFill>
        </w:rPr>
        <w:t>产教融合</w:t>
      </w:r>
      <w:bookmarkEnd w:id="64"/>
    </w:p>
    <w:p w14:paraId="63E54CFB">
      <w:pPr>
        <w:pStyle w:val="3"/>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default"/>
          <w:color w:val="000000" w:themeColor="text1"/>
          <w14:textFill>
            <w14:solidFill>
              <w14:schemeClr w14:val="tx1"/>
            </w14:solidFill>
          </w14:textFill>
        </w:rPr>
      </w:pPr>
      <w:bookmarkStart w:id="65" w:name="_Toc21797"/>
      <w:r>
        <w:rPr>
          <w:rFonts w:hint="default"/>
          <w:color w:val="000000" w:themeColor="text1"/>
          <w14:textFill>
            <w14:solidFill>
              <w14:schemeClr w14:val="tx1"/>
            </w14:solidFill>
          </w14:textFill>
        </w:rPr>
        <w:t>6.1 校企双元育人</w:t>
      </w:r>
      <w:bookmarkEnd w:id="65"/>
    </w:p>
    <w:p w14:paraId="1875B915">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学校构建“校企协同、双元共育”人才培养机制，推动企业深度融入教育教学全过程：一是校企共同制定专业人才培养方案，将企业岗位标准无缝融入课程体系，确保教学内容与行业前沿需求精准契合；二是企业委派技术骨干担任外聘教师，2025年聘请4名企业专家承担实践课程教学与技能实训指导，年授课量突破200课时；三是实施“岗课赛证”融合育人模式，组织学生参与企业真实项目与职业技能大赛，以赛砺学、以证强技，2025年学生职业资格获证率达92%；四是校企共建产教融合实训基地，实现教学环境与生产场景零距离对接，使学生在真实职业情境中锤炼综合能力。学校更将企业文化深度植入日常教学，强化职业素养培育，显著提升学生对行业的认同感与岗位适应力，为企业持续输送高素质技能人才。</w:t>
      </w:r>
    </w:p>
    <w:p w14:paraId="282FA46B">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color w:val="000000" w:themeColor="text1"/>
          <w:lang w:val="en-US" w:eastAsia="zh-CN"/>
          <w14:textFill>
            <w14:solidFill>
              <w14:schemeClr w14:val="tx1"/>
            </w14:solidFill>
          </w14:textFill>
        </w:rPr>
      </w:pPr>
    </w:p>
    <w:p w14:paraId="20224FAD">
      <w:pPr>
        <w:pStyle w:val="10"/>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color w:val="000000" w:themeColor="text1"/>
          <w:lang w:val="en-US" w:eastAsia="zh-CN"/>
          <w14:textFill>
            <w14:solidFill>
              <w14:schemeClr w14:val="tx1"/>
            </w14:solidFill>
          </w14:textFill>
        </w:rPr>
      </w:pPr>
      <w:r>
        <w:t xml:space="preserve">表 </w:t>
      </w:r>
      <w:r>
        <w:fldChar w:fldCharType="begin"/>
      </w:r>
      <w:r>
        <w:instrText xml:space="preserve"> SEQ 表 \* ARABIC </w:instrText>
      </w:r>
      <w:r>
        <w:fldChar w:fldCharType="separate"/>
      </w:r>
      <w:r>
        <w:t>10</w:t>
      </w:r>
      <w:r>
        <w:fldChar w:fldCharType="end"/>
      </w:r>
      <w:bookmarkStart w:id="66" w:name="_Toc31159"/>
      <w:r>
        <w:drawing>
          <wp:anchor distT="0" distB="0" distL="114300" distR="114300" simplePos="0" relativeHeight="251677696" behindDoc="1" locked="0" layoutInCell="1" allowOverlap="1">
            <wp:simplePos x="0" y="0"/>
            <wp:positionH relativeFrom="column">
              <wp:posOffset>385445</wp:posOffset>
            </wp:positionH>
            <wp:positionV relativeFrom="paragraph">
              <wp:posOffset>346710</wp:posOffset>
            </wp:positionV>
            <wp:extent cx="4839335" cy="2743200"/>
            <wp:effectExtent l="4445" t="5080" r="13970" b="13970"/>
            <wp:wrapThrough wrapText="bothSides">
              <wp:wrapPolygon>
                <wp:start x="-20" y="-40"/>
                <wp:lineTo x="-20" y="21560"/>
                <wp:lineTo x="21577" y="21560"/>
                <wp:lineTo x="21577" y="-40"/>
                <wp:lineTo x="-20" y="-40"/>
              </wp:wrapPolygon>
            </wp:wrapThrough>
            <wp:docPr id="15" name="图表 2" descr="7b0a202020202263686172745265734964223a2022323034373638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lang w:eastAsia="zh-CN"/>
        </w:rPr>
        <w:t>:2025年职业技能鉴定人数</w:t>
      </w:r>
      <w:bookmarkEnd w:id="66"/>
      <w:bookmarkStart w:id="88" w:name="_GoBack"/>
      <w:bookmarkEnd w:id="88"/>
    </w:p>
    <w:p w14:paraId="268EFE73">
      <w:pPr>
        <w:pStyle w:val="3"/>
        <w:keepNext/>
        <w:keepLines w:val="0"/>
        <w:pageBreakBefore w:val="0"/>
        <w:widowControl w:val="0"/>
        <w:kinsoku/>
        <w:wordWrap/>
        <w:overflowPunct/>
        <w:topLinePunct w:val="0"/>
        <w:autoSpaceDE/>
        <w:autoSpaceDN/>
        <w:bidi w:val="0"/>
        <w:adjustRightInd/>
        <w:snapToGrid/>
        <w:textAlignment w:val="auto"/>
        <w:rPr>
          <w:rFonts w:hint="default"/>
          <w:color w:val="0000FF"/>
        </w:rPr>
      </w:pPr>
      <w:bookmarkStart w:id="67" w:name="_Toc9746"/>
      <w:r>
        <w:rPr>
          <w:rFonts w:hint="default"/>
        </w:rPr>
        <w:t>6.</w:t>
      </w:r>
      <w:r>
        <w:rPr>
          <w:rFonts w:hint="eastAsia"/>
          <w:lang w:val="en-US" w:eastAsia="zh-CN"/>
        </w:rPr>
        <w:t>2</w:t>
      </w:r>
      <w:r>
        <w:rPr>
          <w:rFonts w:hint="default"/>
        </w:rPr>
        <w:t>市域产教联合体建设</w:t>
      </w:r>
      <w:bookmarkEnd w:id="67"/>
    </w:p>
    <w:p w14:paraId="274D6D1D">
      <w:pPr>
        <w:keepNext/>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drawing>
          <wp:anchor distT="0" distB="0" distL="114300" distR="114300" simplePos="0" relativeHeight="251678720" behindDoc="1" locked="0" layoutInCell="1" allowOverlap="1">
            <wp:simplePos x="0" y="0"/>
            <wp:positionH relativeFrom="column">
              <wp:posOffset>238125</wp:posOffset>
            </wp:positionH>
            <wp:positionV relativeFrom="paragraph">
              <wp:posOffset>1880870</wp:posOffset>
            </wp:positionV>
            <wp:extent cx="5122545" cy="3239770"/>
            <wp:effectExtent l="0" t="0" r="1905" b="17780"/>
            <wp:wrapThrough wrapText="bothSides">
              <wp:wrapPolygon>
                <wp:start x="0" y="0"/>
                <wp:lineTo x="0" y="21465"/>
                <wp:lineTo x="21528" y="21465"/>
                <wp:lineTo x="21528" y="0"/>
                <wp:lineTo x="0" y="0"/>
              </wp:wrapPolygon>
            </wp:wrapThrough>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23"/>
                    <a:stretch>
                      <a:fillRect/>
                    </a:stretch>
                  </pic:blipFill>
                  <pic:spPr>
                    <a:xfrm>
                      <a:off x="0" y="0"/>
                      <a:ext cx="5122545" cy="3239770"/>
                    </a:xfrm>
                    <a:prstGeom prst="rect">
                      <a:avLst/>
                    </a:prstGeom>
                    <a:noFill/>
                    <a:ln w="9525">
                      <a:noFill/>
                    </a:ln>
                  </pic:spPr>
                </pic:pic>
              </a:graphicData>
            </a:graphic>
          </wp:anchor>
        </w:drawing>
      </w:r>
      <w:r>
        <w:rPr>
          <w:rFonts w:hint="default"/>
          <w:lang w:val="en-US" w:eastAsia="zh-CN"/>
        </w:rPr>
        <w:t>积极参与西安市域产教联合体建设，依托鄠邑区西户高新技术开发区的产业优势，整合区域内医药企业陕西汉唐制药有限公司</w:t>
      </w:r>
      <w:r>
        <w:rPr>
          <w:rFonts w:hint="eastAsia"/>
          <w:lang w:val="en-US" w:eastAsia="zh-CN"/>
        </w:rPr>
        <w:t>、陕西海通医药有限公司</w:t>
      </w:r>
      <w:r>
        <w:rPr>
          <w:rFonts w:hint="default"/>
          <w:lang w:val="en-US" w:eastAsia="zh-CN"/>
        </w:rPr>
        <w:t>，搭建产教供需对接平台。通过联合体促成校企合作</w:t>
      </w:r>
      <w:r>
        <w:rPr>
          <w:rFonts w:hint="eastAsia"/>
          <w:lang w:val="en-US" w:eastAsia="zh-CN"/>
        </w:rPr>
        <w:t>实习基地2</w:t>
      </w:r>
      <w:r>
        <w:rPr>
          <w:rFonts w:hint="default"/>
          <w:lang w:val="en-US" w:eastAsia="zh-CN"/>
        </w:rPr>
        <w:t>个，实现教学资源与产业资源的高效整合，为区域医药产业发展提供人才支撑。</w:t>
      </w:r>
    </w:p>
    <w:p w14:paraId="22D3A298">
      <w:pPr>
        <w:pStyle w:val="10"/>
        <w:bidi w:val="0"/>
        <w:jc w:val="center"/>
        <w:rPr>
          <w:rFonts w:hint="eastAsia" w:eastAsia="黑体"/>
          <w:lang w:eastAsia="zh-CN"/>
        </w:rPr>
      </w:pPr>
      <w:r>
        <w:t xml:space="preserve">图 </w:t>
      </w:r>
      <w:r>
        <w:fldChar w:fldCharType="begin"/>
      </w:r>
      <w:r>
        <w:instrText xml:space="preserve"> SEQ 图 \* ARABIC </w:instrText>
      </w:r>
      <w:r>
        <w:fldChar w:fldCharType="separate"/>
      </w:r>
      <w:r>
        <w:t>6</w:t>
      </w:r>
      <w:r>
        <w:fldChar w:fldCharType="end"/>
      </w:r>
      <w:bookmarkStart w:id="68" w:name="_Toc5992"/>
      <w:r>
        <w:rPr>
          <w:rFonts w:hint="eastAsia"/>
          <w:lang w:eastAsia="zh-CN"/>
        </w:rPr>
        <w:t>：实践赋能教学</w:t>
      </w:r>
      <w:bookmarkEnd w:id="68"/>
    </w:p>
    <w:p w14:paraId="41584E50">
      <w:pPr>
        <w:pStyle w:val="10"/>
        <w:bidi w:val="0"/>
        <w:rPr>
          <w:rFonts w:ascii="仿宋_GB2312" w:hAnsi="仿宋" w:cs="仿宋"/>
          <w:color w:val="0000FF"/>
          <w:szCs w:val="32"/>
        </w:rPr>
      </w:pPr>
      <w:r>
        <w:rPr>
          <w:rFonts w:hint="eastAsia"/>
          <w:lang w:val="en-US" w:eastAsia="zh-CN"/>
        </w:rPr>
        <w:t>为深化产教协同育人，拓宽学生职业视野，11月5日，学校组织师生赴陕西海通医药有限公司、陕西海川医药有限公司及健宝儿推拿养生保健服务部开展了一系列实践教学活动。</w:t>
      </w:r>
    </w:p>
    <w:p w14:paraId="774A9E67">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FF"/>
        </w:rPr>
      </w:pPr>
      <w:bookmarkStart w:id="69" w:name="_Toc22034"/>
      <w:r>
        <w:rPr>
          <w:rFonts w:hint="default"/>
        </w:rPr>
        <w:t>6.</w:t>
      </w:r>
      <w:r>
        <w:rPr>
          <w:rFonts w:hint="eastAsia"/>
          <w:lang w:val="en-US" w:eastAsia="zh-CN"/>
        </w:rPr>
        <w:t>3</w:t>
      </w:r>
      <w:r>
        <w:rPr>
          <w:rFonts w:hint="default"/>
        </w:rPr>
        <w:t>行业产教融合共同体建设</w:t>
      </w:r>
      <w:bookmarkEnd w:id="69"/>
    </w:p>
    <w:p w14:paraId="230171BD">
      <w:pPr>
        <w:keepNext w:val="0"/>
        <w:keepLines w:val="0"/>
        <w:pageBreakBefore w:val="0"/>
        <w:widowControl w:val="0"/>
        <w:kinsoku/>
        <w:wordWrap/>
        <w:overflowPunct/>
        <w:topLinePunct w:val="0"/>
        <w:autoSpaceDE/>
        <w:autoSpaceDN/>
        <w:bidi w:val="0"/>
        <w:adjustRightInd/>
        <w:snapToGrid/>
        <w:spacing w:line="560" w:lineRule="exact"/>
        <w:textAlignment w:val="auto"/>
      </w:pPr>
      <w:r>
        <w:rPr>
          <w:rFonts w:hint="eastAsia"/>
          <w:lang w:val="en-US" w:eastAsia="zh-CN"/>
        </w:rPr>
        <w:t>以行业产教融合共同体建设为抓手，整合校企双方优质资源，携手共建实训基地、共育“双师型”教师队伍，深化推行订单式、学徒制培养模式，实现人才培养与行业岗位需求的无缝衔接，为专业内涵提质增效注入强劲动能。学校在现有校企冠名班的基础上，进一步搭建校企共建实训室，持续推动实训基地建设升级，促成校企双方在教学内容、师资队伍等关键环节的深度对接与协同合作，构建教学环节与企业生产线交替衔接的教学运行机制。</w:t>
      </w:r>
    </w:p>
    <w:p w14:paraId="4C7EAEB3">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FF"/>
        </w:rPr>
      </w:pPr>
      <w:bookmarkStart w:id="70" w:name="_Toc24813"/>
      <w:r>
        <w:rPr>
          <w:rFonts w:hint="default"/>
        </w:rPr>
        <w:t>6.</w:t>
      </w:r>
      <w:r>
        <w:rPr>
          <w:rFonts w:hint="eastAsia"/>
          <w:lang w:val="en-US" w:eastAsia="zh-CN"/>
        </w:rPr>
        <w:t>3</w:t>
      </w:r>
      <w:r>
        <w:rPr>
          <w:rFonts w:hint="default"/>
        </w:rPr>
        <w:t>行业产教融合共同体建设</w:t>
      </w:r>
      <w:bookmarkEnd w:id="70"/>
    </w:p>
    <w:p w14:paraId="1C0BAF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以行业产教融合共同体建设为抓手，整合校企双方优质资源，携手共建实训基地、共育“双师型”教师队伍，深化推行订单式、学徒制培养模式，实现人才培养与行业岗位需求的无缝衔接，为专业内涵提质增效注入强劲动能。学校在现有校企冠名班的基础上，进一步搭建校企共建实训室，持续推动实训基地建设升级，促成校企双方在教学内容、师资队伍等关键环节的深度对接与协同合作，构建教学环节与企业生产线交替衔接的教学运行机制。</w:t>
      </w:r>
    </w:p>
    <w:p w14:paraId="1D20A303">
      <w:pPr>
        <w:bidi w:val="0"/>
        <w:rPr>
          <w:rFonts w:hint="eastAsia"/>
          <w:lang w:val="en-US" w:eastAsia="zh-CN"/>
        </w:rPr>
      </w:pPr>
      <w:r>
        <w:rPr>
          <w:rFonts w:hint="eastAsia"/>
          <w:lang w:val="en-US" w:eastAsia="zh-CN"/>
        </w:rPr>
        <w:drawing>
          <wp:inline distT="0" distB="0" distL="114300" distR="114300">
            <wp:extent cx="4860290" cy="3239770"/>
            <wp:effectExtent l="0" t="0" r="16510" b="17780"/>
            <wp:docPr id="4" name="图片 4" descr="716a5a55a5bb0dfbc561bc46810b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16a5a55a5bb0dfbc561bc46810b8210"/>
                    <pic:cNvPicPr>
                      <a:picLocks noChangeAspect="1"/>
                    </pic:cNvPicPr>
                  </pic:nvPicPr>
                  <pic:blipFill>
                    <a:blip r:embed="rId24"/>
                    <a:stretch>
                      <a:fillRect/>
                    </a:stretch>
                  </pic:blipFill>
                  <pic:spPr>
                    <a:xfrm>
                      <a:off x="0" y="0"/>
                      <a:ext cx="4860290" cy="3239770"/>
                    </a:xfrm>
                    <a:prstGeom prst="rect">
                      <a:avLst/>
                    </a:prstGeom>
                  </pic:spPr>
                </pic:pic>
              </a:graphicData>
            </a:graphic>
          </wp:inline>
        </w:drawing>
      </w:r>
    </w:p>
    <w:p w14:paraId="19B6FF07">
      <w:pPr>
        <w:pStyle w:val="10"/>
        <w:jc w:val="center"/>
        <w:rPr>
          <w:rFonts w:hint="eastAsia" w:eastAsia="仿宋_GB2312"/>
          <w:lang w:val="en-US" w:eastAsia="zh-CN"/>
        </w:rPr>
      </w:pPr>
      <w:r>
        <w:t xml:space="preserve">图 </w:t>
      </w:r>
      <w:r>
        <w:fldChar w:fldCharType="begin"/>
      </w:r>
      <w:r>
        <w:instrText xml:space="preserve"> SEQ 图 \* ARABIC </w:instrText>
      </w:r>
      <w:r>
        <w:fldChar w:fldCharType="separate"/>
      </w:r>
      <w:r>
        <w:t>7</w:t>
      </w:r>
      <w:r>
        <w:fldChar w:fldCharType="end"/>
      </w:r>
      <w:bookmarkStart w:id="71" w:name="_Toc24337"/>
      <w:r>
        <w:rPr>
          <w:rFonts w:hint="eastAsia"/>
          <w:lang w:eastAsia="zh-CN"/>
        </w:rPr>
        <w:t>：学徒培养模式</w:t>
      </w:r>
      <w:bookmarkEnd w:id="71"/>
    </w:p>
    <w:p w14:paraId="1F739C6D">
      <w:pPr>
        <w:pStyle w:val="3"/>
        <w:bidi w:val="0"/>
        <w:rPr>
          <w:rFonts w:hint="default"/>
          <w:lang w:val="en-US" w:eastAsia="zh-CN"/>
        </w:rPr>
      </w:pPr>
      <w:bookmarkStart w:id="72" w:name="_Toc9787"/>
      <w:r>
        <w:rPr>
          <w:rFonts w:hint="eastAsia"/>
          <w:lang w:val="en-US" w:eastAsia="zh-CN"/>
        </w:rPr>
        <w:t>6</w:t>
      </w:r>
      <w:r>
        <w:rPr>
          <w:rFonts w:hint="default"/>
          <w:lang w:val="en-US" w:eastAsia="zh-CN"/>
        </w:rPr>
        <w:t>.</w:t>
      </w:r>
      <w:r>
        <w:rPr>
          <w:rFonts w:hint="eastAsia"/>
          <w:lang w:val="en-US" w:eastAsia="zh-CN"/>
        </w:rPr>
        <w:t>4</w:t>
      </w:r>
      <w:r>
        <w:rPr>
          <w:rFonts w:hint="default"/>
          <w:lang w:val="en-US" w:eastAsia="zh-CN"/>
        </w:rPr>
        <w:t>开放型区域产教融合实践中心建设</w:t>
      </w:r>
      <w:bookmarkEnd w:id="72"/>
    </w:p>
    <w:p w14:paraId="4E268C1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依托区域产教融合实践中心，对地方主导产业，共建实训场景，深化校企协同育人，提升学生岗位适配能力，助力区域技能人才供给。学校与广州市普泰德义齿有限公司联合申报职业教育校企合作典型生产实践项目，推进项目时采取共同制定人才培养方案、优化课程设置、提供实习实训岗位等合作举措，成功共同培养26名具备扎实理论知识和丰富实践经验的优秀人才，这些人才将在未来行业中发挥重要作用。</w:t>
      </w:r>
    </w:p>
    <w:p w14:paraId="54F4731D">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color w:val="000000" w:themeColor="text1"/>
          <w:lang w:val="en-US" w:eastAsia="zh-CN"/>
          <w14:textFill>
            <w14:solidFill>
              <w14:schemeClr w14:val="tx1"/>
            </w14:solidFill>
          </w14:textFill>
        </w:rPr>
      </w:pPr>
      <w:r>
        <w:rPr>
          <w:rFonts w:hint="default"/>
        </w:rPr>
        <w:drawing>
          <wp:anchor distT="0" distB="0" distL="114300" distR="114300" simplePos="0" relativeHeight="251679744" behindDoc="0" locked="0" layoutInCell="1" allowOverlap="1">
            <wp:simplePos x="0" y="0"/>
            <wp:positionH relativeFrom="column">
              <wp:posOffset>343535</wp:posOffset>
            </wp:positionH>
            <wp:positionV relativeFrom="paragraph">
              <wp:posOffset>120015</wp:posOffset>
            </wp:positionV>
            <wp:extent cx="4851400" cy="3239770"/>
            <wp:effectExtent l="0" t="0" r="6350" b="17780"/>
            <wp:wrapTopAndBottom/>
            <wp:docPr id="16" name="图片 16" descr="29fd8fa65eef96a03b68de606dfd0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9fd8fa65eef96a03b68de606dfd0aa9"/>
                    <pic:cNvPicPr>
                      <a:picLocks noChangeAspect="1"/>
                    </pic:cNvPicPr>
                  </pic:nvPicPr>
                  <pic:blipFill>
                    <a:blip r:embed="rId25"/>
                    <a:stretch>
                      <a:fillRect/>
                    </a:stretch>
                  </pic:blipFill>
                  <pic:spPr>
                    <a:xfrm>
                      <a:off x="0" y="0"/>
                      <a:ext cx="4851400" cy="3239770"/>
                    </a:xfrm>
                    <a:prstGeom prst="rect">
                      <a:avLst/>
                    </a:prstGeom>
                  </pic:spPr>
                </pic:pic>
              </a:graphicData>
            </a:graphic>
          </wp:anchor>
        </w:drawing>
      </w:r>
      <w:r>
        <w:t xml:space="preserve">图 </w:t>
      </w:r>
      <w:r>
        <w:fldChar w:fldCharType="begin"/>
      </w:r>
      <w:r>
        <w:instrText xml:space="preserve"> SEQ 图 \* ARABIC </w:instrText>
      </w:r>
      <w:r>
        <w:fldChar w:fldCharType="separate"/>
      </w:r>
      <w:r>
        <w:t>8</w:t>
      </w:r>
      <w:r>
        <w:fldChar w:fldCharType="end"/>
      </w:r>
      <w:bookmarkStart w:id="73" w:name="_Toc22786"/>
      <w:r>
        <w:rPr>
          <w:rFonts w:hint="eastAsia"/>
          <w:lang w:eastAsia="zh-CN"/>
        </w:rPr>
        <w:t>：第六届校企口腔雕牙大赛</w:t>
      </w:r>
      <w:bookmarkEnd w:id="73"/>
    </w:p>
    <w:p w14:paraId="3D617B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项目实施过程中，校企双方定期开展教学研讨与质量评估，建成功能完备的口腔修复工艺实训室，打造开放型实践教学平台。实训室配备总值124.95万元的先进设备，彰显学校对实践教学的高度重视与持续投入。该平台主要服务于本校学生口腔修复工艺实训需求，提供真实专业的实践环境，年使用频次超过50人次，运行高效且利用率突出。通过该平台，学生实操能力得到显著提升，学校实践教学与产业需求的衔接更为紧密，学生所学知识深度契合行业发展需求，为其职业发展奠定坚实基础。</w:t>
      </w:r>
    </w:p>
    <w:p w14:paraId="79BD7C28">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eastAsia="仿宋_GB2312"/>
          <w:sz w:val="32"/>
          <w:szCs w:val="40"/>
          <w:lang w:val="en-US" w:eastAsia="zh-CN"/>
        </w:rPr>
      </w:pPr>
      <w:r>
        <w:rPr>
          <w:sz w:val="28"/>
          <w:szCs w:val="36"/>
        </w:rPr>
        <w:t xml:space="preserve">案例 </w:t>
      </w:r>
      <w:bookmarkStart w:id="74" w:name="_Toc25140"/>
      <w:r>
        <w:rPr>
          <w:rFonts w:hint="eastAsia"/>
          <w:sz w:val="28"/>
          <w:szCs w:val="36"/>
          <w:lang w:eastAsia="zh-CN"/>
        </w:rPr>
        <w:t>：6-1产教融合 ——“订单式培养 + 实习就业一体化”模式</w:t>
      </w:r>
      <w:bookmarkEnd w:id="74"/>
    </w:p>
    <w:p w14:paraId="5DC9A1C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合作主体西安医药科技职业学校与广州市普泰</w:t>
      </w:r>
      <w:r>
        <w:rPr>
          <w:rFonts w:hint="eastAsia"/>
          <w:color w:val="000000" w:themeColor="text1"/>
          <w:lang w:val="en-US" w:eastAsia="zh-CN"/>
          <w14:textFill>
            <w14:solidFill>
              <w14:schemeClr w14:val="tx1"/>
            </w14:solidFill>
          </w14:textFill>
        </w:rPr>
        <w:t>德义齿</w:t>
      </w:r>
      <w:r>
        <w:rPr>
          <w:rFonts w:hint="default"/>
          <w:color w:val="000000" w:themeColor="text1"/>
          <w:lang w:val="en-US" w:eastAsia="zh-CN"/>
          <w14:textFill>
            <w14:solidFill>
              <w14:schemeClr w14:val="tx1"/>
            </w14:solidFill>
          </w14:textFill>
        </w:rPr>
        <w:t>有限公司</w:t>
      </w:r>
      <w:r>
        <w:rPr>
          <w:rFonts w:hint="eastAsia"/>
          <w:color w:val="000000" w:themeColor="text1"/>
          <w:lang w:val="en-US" w:eastAsia="zh-CN"/>
          <w14:textFill>
            <w14:solidFill>
              <w14:schemeClr w14:val="tx1"/>
            </w14:solidFill>
          </w14:textFill>
        </w:rPr>
        <w:t>推出</w:t>
      </w:r>
      <w:r>
        <w:rPr>
          <w:rFonts w:hint="default"/>
          <w:color w:val="000000" w:themeColor="text1"/>
          <w:lang w:val="en-US" w:eastAsia="zh-CN"/>
          <w14:textFill>
            <w14:solidFill>
              <w14:schemeClr w14:val="tx1"/>
            </w14:solidFill>
          </w14:textFill>
        </w:rPr>
        <w:t>创新举措：双方签订长期合作协议，共建“普泰德口腔修复定向班”，共同制定培养方案</w:t>
      </w:r>
      <w:r>
        <w:rPr>
          <w:rFonts w:hint="eastAsia"/>
          <w:color w:val="000000" w:themeColor="text1"/>
          <w:lang w:val="en-US" w:eastAsia="zh-CN"/>
          <w14:textFill>
            <w14:solidFill>
              <w14:schemeClr w14:val="tx1"/>
            </w14:solidFill>
          </w14:textFill>
        </w:rPr>
        <w:t>，为</w:t>
      </w:r>
      <w:r>
        <w:rPr>
          <w:rFonts w:hint="default"/>
          <w:color w:val="000000" w:themeColor="text1"/>
          <w:lang w:val="en-US" w:eastAsia="zh-CN"/>
          <w14:textFill>
            <w14:solidFill>
              <w14:schemeClr w14:val="tx1"/>
            </w14:solidFill>
          </w14:textFill>
        </w:rPr>
        <w:t>企业提供教材</w:t>
      </w:r>
      <w:r>
        <w:rPr>
          <w:rFonts w:hint="eastAsia"/>
          <w:color w:val="000000" w:themeColor="text1"/>
          <w:lang w:val="en-US" w:eastAsia="zh-CN"/>
          <w14:textFill>
            <w14:solidFill>
              <w14:schemeClr w14:val="tx1"/>
            </w14:solidFill>
          </w14:textFill>
        </w:rPr>
        <w:t>和</w:t>
      </w:r>
      <w:r>
        <w:rPr>
          <w:rFonts w:hint="default"/>
          <w:color w:val="000000" w:themeColor="text1"/>
          <w:lang w:val="en-US" w:eastAsia="zh-CN"/>
          <w14:textFill>
            <w14:solidFill>
              <w14:schemeClr w14:val="tx1"/>
            </w14:solidFill>
          </w14:textFill>
        </w:rPr>
        <w:t>设备支持，</w:t>
      </w:r>
      <w:r>
        <w:rPr>
          <w:rFonts w:hint="eastAsia"/>
          <w:color w:val="000000" w:themeColor="text1"/>
          <w:lang w:val="en-US" w:eastAsia="zh-CN"/>
          <w14:textFill>
            <w14:solidFill>
              <w14:schemeClr w14:val="tx1"/>
            </w14:solidFill>
          </w14:textFill>
        </w:rPr>
        <w:t>并</w:t>
      </w:r>
      <w:r>
        <w:rPr>
          <w:rFonts w:hint="default"/>
          <w:color w:val="000000" w:themeColor="text1"/>
          <w:lang w:val="en-US" w:eastAsia="zh-CN"/>
          <w14:textFill>
            <w14:solidFill>
              <w14:schemeClr w14:val="tx1"/>
            </w14:solidFill>
          </w14:textFill>
        </w:rPr>
        <w:t>选派技术骨干担任实训导师；学生在校期间完成理论学习和基础实训</w:t>
      </w:r>
      <w:r>
        <w:rPr>
          <w:rFonts w:hint="eastAsia"/>
          <w:color w:val="000000" w:themeColor="text1"/>
          <w:lang w:val="en-US" w:eastAsia="zh-CN"/>
          <w14:textFill>
            <w14:solidFill>
              <w14:schemeClr w14:val="tx1"/>
            </w14:solidFill>
          </w14:textFill>
        </w:rPr>
        <w:t>后</w:t>
      </w:r>
      <w:r>
        <w:rPr>
          <w:rFonts w:hint="default"/>
          <w:color w:val="000000" w:themeColor="text1"/>
          <w:lang w:val="en-US" w:eastAsia="zh-CN"/>
          <w14:textFill>
            <w14:solidFill>
              <w14:schemeClr w14:val="tx1"/>
            </w14:solidFill>
          </w14:textFill>
        </w:rPr>
        <w:t>，第三年进入企业进行顶岗实习，企业为实习学生提供生活补贴</w:t>
      </w:r>
      <w:r>
        <w:rPr>
          <w:rFonts w:hint="eastAsia"/>
          <w:color w:val="000000" w:themeColor="text1"/>
          <w:lang w:val="en-US" w:eastAsia="zh-CN"/>
          <w14:textFill>
            <w14:solidFill>
              <w14:schemeClr w14:val="tx1"/>
            </w14:solidFill>
          </w14:textFill>
        </w:rPr>
        <w:t>及</w:t>
      </w:r>
      <w:r>
        <w:rPr>
          <w:rFonts w:hint="default"/>
          <w:color w:val="000000" w:themeColor="text1"/>
          <w:lang w:val="en-US" w:eastAsia="zh-CN"/>
          <w14:textFill>
            <w14:solidFill>
              <w14:schemeClr w14:val="tx1"/>
            </w14:solidFill>
          </w14:textFill>
        </w:rPr>
        <w:t>技能指导；实习结束后，企业根据学生表现择优录用，实现“入学即定岗、实习即就业”</w:t>
      </w:r>
      <w:r>
        <w:rPr>
          <w:rFonts w:hint="eastAsia"/>
          <w:color w:val="000000" w:themeColor="text1"/>
          <w:lang w:val="en-US" w:eastAsia="zh-CN"/>
          <w14:textFill>
            <w14:solidFill>
              <w14:schemeClr w14:val="tx1"/>
            </w14:solidFill>
          </w14:textFill>
        </w:rPr>
        <w:t>的目标</w:t>
      </w:r>
      <w:r>
        <w:rPr>
          <w:rFonts w:hint="default"/>
          <w:color w:val="000000" w:themeColor="text1"/>
          <w:lang w:val="en-US" w:eastAsia="zh-CN"/>
          <w14:textFill>
            <w14:solidFill>
              <w14:schemeClr w14:val="tx1"/>
            </w14:solidFill>
          </w14:textFill>
        </w:rPr>
        <w:t>。</w:t>
      </w:r>
    </w:p>
    <w:p w14:paraId="0021B8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实施成效方面，该模式自推行以来，已成功培养3届毕业生共60余人，其中85%以上在企业留任，毕业生迅速成长为技术骨干。以2022届毕业生宋成为例，实习后留任公司担任实习主管，月薪达8000元，享受免费食宿和团建活动等福利。该模式高效解决了企业技能人才短缺和学生就业难题，实现校企互利共赢，其成功经验已推广至与杭州奥泰生物技术股份有限公司等5家企业的合作中。</w:t>
      </w:r>
    </w:p>
    <w:p w14:paraId="2861BE54">
      <w:pPr>
        <w:pStyle w:val="2"/>
        <w:keepNext w:val="0"/>
        <w:keepLines w:val="0"/>
        <w:pageBreakBefore w:val="0"/>
        <w:widowControl w:val="0"/>
        <w:kinsoku/>
        <w:wordWrap/>
        <w:overflowPunct/>
        <w:topLinePunct w:val="0"/>
        <w:autoSpaceDE/>
        <w:autoSpaceDN/>
        <w:bidi w:val="0"/>
        <w:adjustRightInd/>
        <w:snapToGrid/>
        <w:spacing w:line="560" w:lineRule="exact"/>
        <w:ind w:left="640" w:leftChars="200" w:firstLine="0" w:firstLineChars="0"/>
        <w:textAlignment w:val="auto"/>
        <w:rPr>
          <w:rFonts w:hint="default"/>
          <w:color w:val="000000" w:themeColor="text1"/>
          <w14:textFill>
            <w14:solidFill>
              <w14:schemeClr w14:val="tx1"/>
            </w14:solidFill>
          </w14:textFill>
        </w:rPr>
      </w:pPr>
      <w:bookmarkStart w:id="75" w:name="_Toc16739"/>
      <w:r>
        <w:rPr>
          <w:rFonts w:hint="default"/>
          <w:color w:val="000000" w:themeColor="text1"/>
          <w14:textFill>
            <w14:solidFill>
              <w14:schemeClr w14:val="tx1"/>
            </w14:solidFill>
          </w14:textFill>
        </w:rPr>
        <w:t>7.发展保障</w:t>
      </w:r>
      <w:bookmarkEnd w:id="75"/>
    </w:p>
    <w:p w14:paraId="0EE702E7">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76" w:name="_Toc6309"/>
      <w:r>
        <w:rPr>
          <w:rFonts w:hint="default"/>
          <w:color w:val="000000" w:themeColor="text1"/>
          <w14:textFill>
            <w14:solidFill>
              <w14:schemeClr w14:val="tx1"/>
            </w14:solidFill>
          </w14:textFill>
        </w:rPr>
        <w:t>7.1政策落实</w:t>
      </w:r>
      <w:bookmarkEnd w:id="76"/>
    </w:p>
    <w:p w14:paraId="10C4088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学校认真贯彻落实国家和地方有关教育政策法规，积极响应职业教育改革发展的各项政策要求。通过建立完善的内部管理制度，确保政策的执行力度和效果。学校定期对政策执行情况进行评估和反馈，及时调整和优化相关措施，以适应教育发展的新要求。学校注重政策宣传和教育，确保每一位师生都能充分理解并积极践行国家的教育方针，共同推动学校教育教学质量的持续提升。</w:t>
      </w:r>
    </w:p>
    <w:p w14:paraId="2A5738C4">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77" w:name="_Toc6880"/>
      <w:r>
        <w:rPr>
          <w:rFonts w:hint="default"/>
          <w:color w:val="000000" w:themeColor="text1"/>
          <w14:textFill>
            <w14:solidFill>
              <w14:schemeClr w14:val="tx1"/>
            </w14:solidFill>
          </w14:textFill>
        </w:rPr>
        <w:t>7.2学校治理</w:t>
      </w:r>
      <w:bookmarkEnd w:id="77"/>
    </w:p>
    <w:p w14:paraId="2E13EDF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是坚持党的教育方针，贯彻国家教育相关政策法规，积极培育和践行社会主义核心价值观，加强热爱和传承中华优秀传统文化教育，充分发挥中华优秀传统文化的时代意义与教育价值，把立德树人作为学校教书育人的根本任务，把德育工作摆在素质教育的首要位置，全面加强学校德育体系建设。</w:t>
      </w:r>
    </w:p>
    <w:p w14:paraId="150DD7C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二是完善和落实学校章程，把党支部建设贯穿到学校长远建设中。充分体现党支部的领导核心作用，形成学校领导班子的凝聚力，充分听取党支部对学校重大决策的意见，发挥党组织的政治核心作用。</w:t>
      </w:r>
    </w:p>
    <w:p w14:paraId="2406C8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是制定学校中长期发展规划和发展战略规划，凝聚师生智慧，汇集行业企业力量，建立学校发展共同目标，形成学校发展合力，细化到办学理念、办学目标和课程建设上，落实学校发展规划，制订学年、学期工作计划，落实到具体行动方案，全力保障学校发展规划。</w:t>
      </w:r>
    </w:p>
    <w:p w14:paraId="35DFF1A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四是构建完善的制度体系，充分发挥先进职业教育理念和管理理念，坚持依法治校，建立健全学校各项规章制度，完善学校目标管理和绩效管理机制，实施科学管理、民主管理，推动学校可持续发展，形成促进职业教育健康发展的良好秩序环境。</w:t>
      </w:r>
    </w:p>
    <w:p w14:paraId="5B822A53">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78" w:name="_Toc13727"/>
      <w:r>
        <w:rPr>
          <w:rFonts w:hint="default"/>
          <w:color w:val="000000" w:themeColor="text1"/>
          <w14:textFill>
            <w14:solidFill>
              <w14:schemeClr w14:val="tx1"/>
            </w14:solidFill>
          </w14:textFill>
        </w:rPr>
        <w:t>7.3质量保障</w:t>
      </w:r>
      <w:bookmarkEnd w:id="78"/>
    </w:p>
    <w:p w14:paraId="343C1CB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以习近平新时代中国特色社会主义思想和党的二十大精神为引领，深入学习贯彻全国教育大会精神。坚持立德树人、服务发展、促进就业的办学理念，将提高人才培养质量作为核心任务，以推动学校自主发展和内涵发展为目标。遵循“需求导向、自我保证、多元诊断、重在改进”的工作方针，推动学校主动适应经济社会发展的需求，改善办学条件、规范学校管理、深化教学改革、完善制度体系、健全运行机制，以实现学校的健康、可持续发展。</w:t>
      </w:r>
    </w:p>
    <w:p w14:paraId="7CD0749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制定《学校教育教学质量提升方案》，开展教育教学质量提升工作，围绕一个中心：以提高课堂教学效率提高教育质量为中心；落实两个重点：一是学生良好学习习惯的培养；二是课堂教学效率与质量的提高；加强三项研究：一是加强先进教育理论的研究；二是加强校本课程的研究；三是学生行为规范及教学常规管理的研究；实现四个提高：一是提升教师的教研能力；二是增强教师的课堂教学能力；三是促进学生自主学习和创新能力的提升；四是显著提高教育教学的整体质量；做好五项服务：一是服务于学校的教学决策；二是服务于学校的教学工作；三是服务于教师的专业发展；四是服务于教师的教学活动；五是服务于学生的全面发展。</w:t>
      </w:r>
    </w:p>
    <w:p w14:paraId="7BD7E7AB">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000000" w:themeColor="text1"/>
          <w:lang w:eastAsia="zh-CN"/>
          <w14:textFill>
            <w14:solidFill>
              <w14:schemeClr w14:val="tx1"/>
            </w14:solidFill>
          </w14:textFill>
        </w:rPr>
      </w:pPr>
      <w:bookmarkStart w:id="79" w:name="_Toc5311"/>
      <w:r>
        <w:rPr>
          <w:rFonts w:hint="default"/>
          <w:color w:val="000000" w:themeColor="text1"/>
          <w14:textFill>
            <w14:solidFill>
              <w14:schemeClr w14:val="tx1"/>
            </w14:solidFill>
          </w14:textFill>
        </w:rPr>
        <w:t>7.4经费投入</w:t>
      </w:r>
      <w:bookmarkEnd w:id="79"/>
    </w:p>
    <w:p w14:paraId="67BBE0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7.4.1经费来源  </w:t>
      </w:r>
    </w:p>
    <w:p w14:paraId="23D373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仿宋_GB2312"/>
          <w:lang w:eastAsia="zh-CN"/>
        </w:rPr>
      </w:pPr>
      <w:r>
        <w:rPr>
          <w:rFonts w:hint="eastAsia" w:ascii="Times New Roman" w:hAnsi="Times New Roman" w:eastAsia="仿宋_GB2312" w:cs="Times New Roman"/>
          <w:kern w:val="2"/>
          <w:sz w:val="32"/>
          <w:szCs w:val="32"/>
          <w:lang w:eastAsia="zh-CN"/>
        </w:rPr>
        <w:t>学校每年精心制定详尽的财务工作计划，并严格执行预算与决算流程，以强化财务监督机制并严格管理各项经费，确保教学资金的高效使用及财务工作的稳健发展。实行严格的财务管理制度，保障会计资料真实、准确且完整。严格遵守国家相关法律法规，</w:t>
      </w:r>
      <w:r>
        <w:rPr>
          <w:rFonts w:hint="eastAsia" w:cs="Times New Roman"/>
          <w:kern w:val="2"/>
          <w:sz w:val="32"/>
          <w:szCs w:val="32"/>
          <w:lang w:eastAsia="zh-CN"/>
        </w:rPr>
        <w:t>包括</w:t>
      </w:r>
      <w:r>
        <w:rPr>
          <w:rFonts w:hint="eastAsia" w:ascii="Times New Roman" w:hAnsi="Times New Roman" w:eastAsia="仿宋_GB2312" w:cs="Times New Roman"/>
          <w:kern w:val="2"/>
          <w:sz w:val="32"/>
          <w:szCs w:val="32"/>
          <w:lang w:eastAsia="zh-CN"/>
        </w:rPr>
        <w:t>《中华人民共和国会计法》和《中华人民共和国民办教育促进法》</w:t>
      </w:r>
      <w:r>
        <w:rPr>
          <w:rFonts w:hint="eastAsia" w:cs="Times New Roman"/>
          <w:kern w:val="2"/>
          <w:sz w:val="32"/>
          <w:szCs w:val="32"/>
          <w:lang w:eastAsia="zh-CN"/>
        </w:rPr>
        <w:t>等</w:t>
      </w:r>
      <w:r>
        <w:rPr>
          <w:rFonts w:hint="eastAsia" w:ascii="Times New Roman" w:hAnsi="Times New Roman" w:eastAsia="仿宋_GB2312" w:cs="Times New Roman"/>
          <w:kern w:val="2"/>
          <w:sz w:val="32"/>
          <w:szCs w:val="32"/>
          <w:lang w:eastAsia="zh-CN"/>
        </w:rPr>
        <w:t>。财务处对每笔会计业务进行细致审核，确保账务处理的准确性与透明度，并定期提交全面财务报告。</w:t>
      </w:r>
      <w:r>
        <w:rPr>
          <w:rFonts w:hint="eastAsia"/>
          <w:lang w:val="en-US" w:eastAsia="zh-CN"/>
        </w:rPr>
        <w:t>规范管理学费、住宿费等收入来源。通过优化预算编制、压缩非必要开支，并定向投入设施升级与教学提质，显著提升资金使用精准度。</w:t>
      </w:r>
    </w:p>
    <w:p w14:paraId="6AF2E92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7.4.2精准投放，赋能质量提升  </w:t>
      </w:r>
    </w:p>
    <w:p w14:paraId="0A8B09F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坚持“以生为本、聚焦核心、提质增效”原则，将经费重点投向教育教学、师资建设、学生发展等核心领域，确保每笔资金发挥最大效益。</w:t>
      </w:r>
    </w:p>
    <w:p w14:paraId="05DE03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教学核心投入：投入115万元用于课程改革、教学资源更新（含教材、教具、数字化教学平台采购）及教研活动开展。  </w:t>
      </w:r>
    </w:p>
    <w:p w14:paraId="7449D5D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r>
        <w:rPr>
          <w:rFonts w:hint="eastAsia"/>
          <w:lang w:val="en-US" w:eastAsia="zh-CN"/>
        </w:rPr>
        <w:t xml:space="preserve">师资建设投入：投入54.85万元用于教师培训、外出研修、名师工作室建设，组织教师参与各级各类培训，持续提升教师队伍专业素养与教学能力，筑牢教育质量人才根基。  </w:t>
      </w:r>
    </w:p>
    <w:p w14:paraId="4DB483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学生发展投入：投入50万元用于学生综合素质培养、奖助学金发放及校园活动开展，覆盖文体活动、科技创新、社会实践等领域，本年度学生获奖十余项，资助困难学生60人次，保障每位学生全面发展。  </w:t>
      </w:r>
    </w:p>
    <w:p w14:paraId="593555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运转保障投入：投入30.36万元用于校园日常维护、后勤服务与安全保障，确保环境整洁有序、师生生活便利，为教育教学提供稳定后勤支撑。  </w:t>
      </w:r>
    </w:p>
    <w:p w14:paraId="0E448DC9">
      <w:pPr>
        <w:pStyle w:val="10"/>
        <w:bidi w:val="0"/>
        <w:jc w:val="center"/>
        <w:rPr>
          <w:rFonts w:hint="eastAsia" w:eastAsia="仿宋_GB2312"/>
          <w:lang w:val="en-US" w:eastAsia="zh-CN"/>
        </w:rPr>
      </w:pPr>
      <w:r>
        <w:t xml:space="preserve">表 </w:t>
      </w:r>
      <w:r>
        <w:fldChar w:fldCharType="begin"/>
      </w:r>
      <w:r>
        <w:instrText xml:space="preserve"> SEQ 表 \* ARABIC </w:instrText>
      </w:r>
      <w:r>
        <w:fldChar w:fldCharType="separate"/>
      </w:r>
      <w:r>
        <w:t>11</w:t>
      </w:r>
      <w:r>
        <w:fldChar w:fldCharType="end"/>
      </w:r>
      <w:bookmarkStart w:id="80" w:name="_Toc7533"/>
      <w:r>
        <w:rPr>
          <w:rFonts w:hint="eastAsia"/>
          <w:lang w:eastAsia="zh-CN"/>
        </w:rPr>
        <w:t>：2025年投入情况</w:t>
      </w:r>
      <w:bookmarkEnd w:id="80"/>
    </w:p>
    <w:p w14:paraId="0A0EEE3D">
      <w:pPr>
        <w:bidi w:val="0"/>
        <w:rPr>
          <w:rFonts w:hint="eastAsia"/>
          <w:lang w:val="en-US" w:eastAsia="zh-CN"/>
        </w:rPr>
      </w:pPr>
      <w:r>
        <w:rPr>
          <w:rFonts w:hint="eastAsia"/>
          <w:lang w:val="en-US" w:eastAsia="zh-CN"/>
        </w:rPr>
        <w:t xml:space="preserve"> </w:t>
      </w:r>
      <w:r>
        <w:drawing>
          <wp:inline distT="0" distB="0" distL="114300" distR="114300">
            <wp:extent cx="4826000" cy="2743200"/>
            <wp:effectExtent l="4445" t="4445" r="8255" b="14605"/>
            <wp:docPr id="1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1DF4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7.4.3设施迭代升级，优化育人环境  </w:t>
      </w:r>
    </w:p>
    <w:p w14:paraId="451C45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以“安全、实用、智能”为导向，聚焦教学设施、生活设施及安全设施等关键板块，分批次推进更新改造，为可持续发展夯实硬件基础。  </w:t>
      </w:r>
    </w:p>
    <w:p w14:paraId="0B1DCDE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生活设施改善：翻新学生宿舍，升级食堂就餐环境与设备，新增校园活动面积，优化饮水、供暖及照明等基础保障设施，显著提升师生在校生活舒适度与幸福感。  </w:t>
      </w:r>
    </w:p>
    <w:p w14:paraId="5E0504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eastAsia="zh-CN"/>
        </w:rPr>
      </w:pPr>
      <w:r>
        <w:rPr>
          <w:rFonts w:hint="eastAsia"/>
          <w:lang w:val="en-US" w:eastAsia="zh-CN"/>
        </w:rPr>
        <w:t xml:space="preserve">安全设施加固：安装99个校园监控设备，升级所有消防设施，全面整改安全隐患，完善安防系统，筑牢安全防线，为师生安全保驾护航。  </w:t>
      </w:r>
    </w:p>
    <w:p w14:paraId="234622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设施管理维护：建立“定期巡检、按需维修、动态更新”机制，强化日常维护与长效管理，延长设施使用寿命，确保各类设施持续稳定运行。  </w:t>
      </w:r>
    </w:p>
    <w:p w14:paraId="4C1D342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7.4.4健全预算管理机制</w:t>
      </w:r>
    </w:p>
    <w:p w14:paraId="3A9C3A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坚持“量入为出、统筹兼顾、突出重点”预算编制原则，强化预算执行监督与绩效考评，确保经费使用合规高效，杜绝浪费。</w:t>
      </w:r>
    </w:p>
    <w:p w14:paraId="0A7C9833">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color w:val="000000" w:themeColor="text1"/>
          <w14:textFill>
            <w14:solidFill>
              <w14:schemeClr w14:val="tx1"/>
            </w14:solidFill>
          </w14:textFill>
        </w:rPr>
      </w:pPr>
      <w:bookmarkStart w:id="81" w:name="_Toc28217"/>
      <w:r>
        <w:rPr>
          <w:rFonts w:hint="default"/>
          <w:color w:val="000000" w:themeColor="text1"/>
          <w14:textFill>
            <w14:solidFill>
              <w14:schemeClr w14:val="tx1"/>
            </w14:solidFill>
          </w14:textFill>
        </w:rPr>
        <w:t>8.挑战与展望</w:t>
      </w:r>
      <w:bookmarkEnd w:id="81"/>
    </w:p>
    <w:p w14:paraId="68E7898F">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82" w:name="_Toc11882"/>
      <w:r>
        <w:rPr>
          <w:rFonts w:hint="default"/>
          <w:color w:val="000000" w:themeColor="text1"/>
          <w14:textFill>
            <w14:solidFill>
              <w14:schemeClr w14:val="tx1"/>
            </w14:solidFill>
          </w14:textFill>
        </w:rPr>
        <w:t>8.1面临挑战</w:t>
      </w:r>
      <w:bookmarkEnd w:id="82"/>
    </w:p>
    <w:p w14:paraId="0D1C2CE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default"/>
          <w:lang w:val="en-US" w:eastAsia="zh-CN"/>
        </w:rPr>
        <w:t>教育资源整合与优化配置有待加强：部分专业实训设备更新换代速度滞后于产业技术发展，数字化、智能化教学资源建设仍需加大投入。“双师型”教师比例虽有提升，但兼具高水平理论教学能力和前沿实践技能的教师依然紧缺。</w:t>
      </w:r>
    </w:p>
    <w:p w14:paraId="6EA0DCA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default"/>
          <w:lang w:val="en-US" w:eastAsia="zh-CN"/>
        </w:rPr>
        <w:t>产教融合深度与实效性需进一步突破：校企合作“校热企冷”现象在一定程度上存在，企业参与人才培养全过程的积极性有待进一步激发。部分合作项目停留在顶岗实习层面，在共同开发课程、教材、标准以及技术研发等方面的深度融合不足，协同育人机制有待完善。</w:t>
      </w:r>
    </w:p>
    <w:p w14:paraId="5D30937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default"/>
          <w:lang w:val="en-US" w:eastAsia="zh-CN"/>
        </w:rPr>
        <w:t>学生多元化发展需求与供给匹配度需提升：随着生源结构变化，学生在升学、就业、个性化发展等方面的需求日益多元。现有的课程体系、教学模式、评价方式在满足学生多样化成长需求方面面临新的挑战，个性化、精准化教育服务能力有待增强。</w:t>
      </w:r>
    </w:p>
    <w:p w14:paraId="07650FB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default"/>
          <w:lang w:val="en-US" w:eastAsia="zh-CN"/>
        </w:rPr>
        <w:t>社会认同与吸引力仍需提高：职业教育的社会认可度虽有改善，但“重普轻职”的传统观念依然存在，吸引优秀生源报考职业学校的力度仍需加强，需持续向社会展示职业教育的发展成果与人才价值。</w:t>
      </w:r>
    </w:p>
    <w:p w14:paraId="15951329">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color w:val="000000" w:themeColor="text1"/>
          <w14:textFill>
            <w14:solidFill>
              <w14:schemeClr w14:val="tx1"/>
            </w14:solidFill>
          </w14:textFill>
        </w:rPr>
      </w:pPr>
      <w:bookmarkStart w:id="83" w:name="_Toc13415"/>
      <w:r>
        <w:rPr>
          <w:rFonts w:hint="default"/>
          <w:color w:val="000000" w:themeColor="text1"/>
          <w14:textFill>
            <w14:solidFill>
              <w14:schemeClr w14:val="tx1"/>
            </w14:solidFill>
          </w14:textFill>
        </w:rPr>
        <w:t>8.2未来展望</w:t>
      </w:r>
      <w:bookmarkEnd w:id="83"/>
    </w:p>
    <w:p w14:paraId="41A9789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bookmarkStart w:id="84" w:name="_Toc29838"/>
      <w:bookmarkEnd w:id="84"/>
      <w:bookmarkStart w:id="85" w:name="_Toc9878"/>
      <w:bookmarkEnd w:id="85"/>
      <w:bookmarkStart w:id="86" w:name="_Toc25188"/>
      <w:bookmarkEnd w:id="86"/>
      <w:bookmarkStart w:id="87" w:name="_Toc14755"/>
      <w:bookmarkEnd w:id="87"/>
      <w:r>
        <w:rPr>
          <w:rFonts w:hint="eastAsia"/>
          <w:lang w:val="en-US" w:eastAsia="zh-CN"/>
        </w:rPr>
        <w:t>面向未来，学校将坚持问题导向和目标导向，聚焦高质量发展：</w:t>
      </w:r>
    </w:p>
    <w:p w14:paraId="2CBAC42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深化产教融合，创新协同机制：主动对接区域重点产业，探索共建产业学院、产教融合共同体等实体化运作平台。完善激励政策，吸引行业企业深度参与专业规划、课程设置、教学实施。推动校企联合开展技术攻关和成果转化，提升服务产业能力。</w:t>
      </w:r>
    </w:p>
    <w:p w14:paraId="29C61B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推进教学改革，提升育人质量：适应数字化转型趋势，加快建设智慧校园和虚拟仿真实训基地。深入推进“三教”（教师、教材、教法）改革，推广项目式、模块化教学。完善“岗课赛证”综合育人机制，拓宽学生成长成才通道。</w:t>
      </w:r>
    </w:p>
    <w:p w14:paraId="234B44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强化内涵建设，打造特色品牌：持续加强师德师风建设，培育高水平结构化教学创新团队。凝练办学特色，在工匠精神培育、红色基因传承、优秀传统文化创新等方面打造更具影响力的育人品牌。提升治理能力和治理水平，营造良好育人环境。</w:t>
      </w:r>
    </w:p>
    <w:p w14:paraId="52AE3EE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拓展社会服务，增强贡献能力：面向社会广泛开展职业培训、技能鉴定和技术服务，助力学习型社会建设和乡村振兴。加大办学成果宣传，讲好职教故事，提升职业教育的社会影响力和吸引力，为地方经济社会高质量发展贡献更多职教力量。</w:t>
      </w:r>
    </w:p>
    <w:p w14:paraId="3EAAB94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14:paraId="0B5551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14:paraId="1C8A3072">
      <w:pPr>
        <w:ind w:left="0" w:leftChars="0" w:firstLine="0" w:firstLineChars="0"/>
        <w:rPr>
          <w:rFonts w:hint="eastAsia"/>
          <w:lang w:val="en-US" w:eastAsia="zh-CN"/>
        </w:rPr>
      </w:pPr>
      <w:r>
        <w:rPr>
          <w:rFonts w:hint="eastAsia"/>
          <w:lang w:val="en-US" w:eastAsia="zh-CN"/>
        </w:rPr>
        <w:br w:type="page"/>
      </w:r>
    </w:p>
    <w:p w14:paraId="4A1E45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lang w:val="en-US" w:eastAsia="zh-CN"/>
        </w:rPr>
        <w:sectPr>
          <w:headerReference r:id="rId7" w:type="default"/>
          <w:footerReference r:id="rId8" w:type="default"/>
          <w:pgSz w:w="11906" w:h="16838"/>
          <w:pgMar w:top="2098" w:right="1474" w:bottom="1984" w:left="1587" w:header="851" w:footer="992" w:gutter="0"/>
          <w:pgNumType w:fmt="decimal" w:start="1"/>
          <w:cols w:space="425" w:num="1"/>
          <w:docGrid w:type="lines" w:linePitch="312" w:charSpace="0"/>
        </w:sectPr>
      </w:pPr>
    </w:p>
    <w:p w14:paraId="621AFCA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-175895</wp:posOffset>
                </wp:positionH>
                <wp:positionV relativeFrom="paragraph">
                  <wp:posOffset>6276975</wp:posOffset>
                </wp:positionV>
                <wp:extent cx="4253230" cy="450850"/>
                <wp:effectExtent l="0" t="0" r="0" b="0"/>
                <wp:wrapNone/>
                <wp:docPr id="36" name="文本框 87"/>
                <wp:cNvGraphicFramePr/>
                <a:graphic xmlns:a="http://schemas.openxmlformats.org/drawingml/2006/main">
                  <a:graphicData uri="http://schemas.microsoft.com/office/word/2010/wordprocessingShape">
                    <wps:wsp>
                      <wps:cNvSpPr txBox="1"/>
                      <wps:spPr>
                        <a:xfrm>
                          <a:off x="0" y="0"/>
                          <a:ext cx="4253230" cy="450850"/>
                        </a:xfrm>
                        <a:prstGeom prst="rect">
                          <a:avLst/>
                        </a:prstGeom>
                        <a:noFill/>
                        <a:ln w="6350">
                          <a:noFill/>
                        </a:ln>
                        <a:effectLst/>
                      </wps:spPr>
                      <wps:txbx>
                        <w:txbxContent>
                          <w:p w14:paraId="048FA780">
                            <w:pPr>
                              <w:keepNext w:val="0"/>
                              <w:keepLines w:val="0"/>
                              <w:pageBreakBefore w:val="0"/>
                              <w:widowControl w:val="0"/>
                              <w:kinsoku/>
                              <w:wordWrap/>
                              <w:overflowPunct/>
                              <w:topLinePunct w:val="0"/>
                              <w:autoSpaceDE/>
                              <w:autoSpaceDN/>
                              <w:bidi w:val="0"/>
                              <w:adjustRightInd/>
                              <w:snapToGrid w:val="0"/>
                              <w:jc w:val="left"/>
                              <w:textAlignment w:val="auto"/>
                              <w:rPr>
                                <w:rFonts w:hint="eastAsia"/>
                                <w:lang w:val="en-US" w:eastAsia="zh-CN"/>
                              </w:rPr>
                            </w:pPr>
                            <w:r>
                              <w:rPr>
                                <w:rFonts w:hint="eastAsia" w:ascii="汉仪大黑简" w:hAnsi="汉仪大黑简" w:eastAsia="汉仪大黑简" w:cs="汉仪大黑简"/>
                                <w:b w:val="0"/>
                                <w:bCs w:val="0"/>
                                <w:i w:val="0"/>
                                <w:caps w:val="0"/>
                                <w:color w:val="0582BD"/>
                                <w:spacing w:val="0"/>
                                <w:sz w:val="36"/>
                                <w:szCs w:val="36"/>
                                <w:shd w:val="clear" w:fill="FFFFFF"/>
                                <w:lang w:val="en-US" w:eastAsia="zh-CN"/>
                              </w:rPr>
                              <w:t>西安医药科技职业学校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13.85pt;margin-top:494.25pt;height:35.5pt;width:334.9pt;z-index:251664384;mso-width-relative:page;mso-height-relative:page;" filled="f" stroked="f" coordsize="21600,21600" o:gfxdata="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azW73QAAAAwBAAAPAAAAAAAAAAEA&#10;IAAAACIAAABkcnMvZG93bnJldi54bWxQSwECFAAUAAAACACHTuJAbm7TC0MCAAB2BAAADgAAAAAA&#10;AAABACAAAAAsAQAAZHJzL2Uyb0RvYy54bWxQSwUGAAAAAAYABgBZAQAA4QUAAAAA&#10;">
                <v:fill on="f" focussize="0,0"/>
                <v:stroke on="f" weight="0.5pt"/>
                <v:imagedata o:title=""/>
                <o:lock v:ext="edit" aspectratio="f"/>
                <v:textbox>
                  <w:txbxContent>
                    <w:p w14:paraId="048FA780">
                      <w:pPr>
                        <w:keepNext w:val="0"/>
                        <w:keepLines w:val="0"/>
                        <w:pageBreakBefore w:val="0"/>
                        <w:widowControl w:val="0"/>
                        <w:kinsoku/>
                        <w:wordWrap/>
                        <w:overflowPunct/>
                        <w:topLinePunct w:val="0"/>
                        <w:autoSpaceDE/>
                        <w:autoSpaceDN/>
                        <w:bidi w:val="0"/>
                        <w:adjustRightInd/>
                        <w:snapToGrid w:val="0"/>
                        <w:jc w:val="left"/>
                        <w:textAlignment w:val="auto"/>
                        <w:rPr>
                          <w:rFonts w:hint="eastAsia"/>
                          <w:lang w:val="en-US" w:eastAsia="zh-CN"/>
                        </w:rPr>
                      </w:pPr>
                      <w:r>
                        <w:rPr>
                          <w:rFonts w:hint="eastAsia" w:ascii="汉仪大黑简" w:hAnsi="汉仪大黑简" w:eastAsia="汉仪大黑简" w:cs="汉仪大黑简"/>
                          <w:b w:val="0"/>
                          <w:bCs w:val="0"/>
                          <w:i w:val="0"/>
                          <w:caps w:val="0"/>
                          <w:color w:val="0582BD"/>
                          <w:spacing w:val="0"/>
                          <w:sz w:val="36"/>
                          <w:szCs w:val="36"/>
                          <w:shd w:val="clear" w:fill="FFFFFF"/>
                          <w:lang w:val="en-US" w:eastAsia="zh-CN"/>
                        </w:rPr>
                        <w:t>西安医药科技职业学校</w:t>
                      </w:r>
                    </w:p>
                  </w:txbxContent>
                </v:textbox>
              </v:shape>
            </w:pict>
          </mc:Fallback>
        </mc:AlternateContent>
      </w:r>
      <w:r>
        <w:rPr>
          <w:sz w:val="21"/>
        </w:rPr>
        <mc:AlternateContent>
          <mc:Choice Requires="wps">
            <w:drawing>
              <wp:anchor distT="0" distB="0" distL="114300" distR="114300" simplePos="0" relativeHeight="251663360" behindDoc="1" locked="0" layoutInCell="1" allowOverlap="1">
                <wp:simplePos x="0" y="0"/>
                <wp:positionH relativeFrom="column">
                  <wp:posOffset>-988060</wp:posOffset>
                </wp:positionH>
                <wp:positionV relativeFrom="paragraph">
                  <wp:posOffset>6334760</wp:posOffset>
                </wp:positionV>
                <wp:extent cx="210820" cy="1257300"/>
                <wp:effectExtent l="0" t="0" r="17780" b="0"/>
                <wp:wrapNone/>
                <wp:docPr id="35" name="矩形 35"/>
                <wp:cNvGraphicFramePr/>
                <a:graphic xmlns:a="http://schemas.openxmlformats.org/drawingml/2006/main">
                  <a:graphicData uri="http://schemas.microsoft.com/office/word/2010/wordprocessingShape">
                    <wps:wsp>
                      <wps:cNvSpPr/>
                      <wps:spPr>
                        <a:xfrm>
                          <a:off x="0" y="0"/>
                          <a:ext cx="210820" cy="1257300"/>
                        </a:xfrm>
                        <a:prstGeom prst="rect">
                          <a:avLst/>
                        </a:prstGeom>
                        <a:solidFill>
                          <a:srgbClr val="2397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5617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8pt;margin-top:498.8pt;height:99pt;width:16.6pt;z-index:-251653120;v-text-anchor:middle;mso-width-relative:page;mso-height-relative:page;" fillcolor="#2397D1" filled="t" stroked="f" coordsize="21600,21600" o:gfxdata="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J9Z4dwAAAAOAQAADwAAAAAAAAABACAAAAAiAAAA&#10;ZHJzL2Rvd25yZXYueG1sUEsBAhQAFAAAAAgAh07iQEtKUh11AgAA2AQAAA4AAAAAAAAAAQAgAAAA&#10;KwEAAGRycy9lMm9Eb2MueG1sUEsFBgAAAAAGAAYAWQEAABIGAAAAAA==&#10;">
                <v:fill on="t" focussize="0,0"/>
                <v:stroke on="f" weight="1pt" miterlimit="8" joinstyle="miter"/>
                <v:imagedata o:title=""/>
                <o:lock v:ext="edit" aspectratio="f"/>
                <v:textbox>
                  <w:txbxContent>
                    <w:p w14:paraId="2235617F">
                      <w:pPr>
                        <w:jc w:val="center"/>
                      </w:pPr>
                    </w:p>
                  </w:txbxContent>
                </v:textbox>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-175895</wp:posOffset>
                </wp:positionH>
                <wp:positionV relativeFrom="paragraph">
                  <wp:posOffset>6753225</wp:posOffset>
                </wp:positionV>
                <wp:extent cx="4547870" cy="1022350"/>
                <wp:effectExtent l="0" t="0" r="0" b="0"/>
                <wp:wrapNone/>
                <wp:docPr id="34" name="文本框 87"/>
                <wp:cNvGraphicFramePr/>
                <a:graphic xmlns:a="http://schemas.openxmlformats.org/drawingml/2006/main">
                  <a:graphicData uri="http://schemas.microsoft.com/office/word/2010/wordprocessingShape">
                    <wps:wsp>
                      <wps:cNvSpPr txBox="1"/>
                      <wps:spPr>
                        <a:xfrm>
                          <a:off x="0" y="0"/>
                          <a:ext cx="4547870" cy="1022350"/>
                        </a:xfrm>
                        <a:prstGeom prst="rect">
                          <a:avLst/>
                        </a:prstGeom>
                        <a:noFill/>
                        <a:ln w="6350">
                          <a:noFill/>
                        </a:ln>
                        <a:effectLst/>
                      </wps:spPr>
                      <wps:txbx>
                        <w:txbxContent>
                          <w:p w14:paraId="2D9E2CC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地址：西安市鄠邑区西户高新技术产业开发区大学南路3号</w:t>
                            </w:r>
                          </w:p>
                          <w:p w14:paraId="1ED39B7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电话：029-84360853  029-84514461</w:t>
                            </w:r>
                          </w:p>
                          <w:p w14:paraId="4463B2F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网址：http://www.xaykxx.com/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13.85pt;margin-top:531.75pt;height:80.5pt;width:358.1pt;z-index:251662336;mso-width-relative:page;mso-height-relative:page;" filled="f" stroked="f" coordsize="21600,21600" o:gfxdata="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067mX3QAAAA0BAAAPAAAAAAAAAAEA&#10;IAAAACIAAABkcnMvZG93bnJldi54bWxQSwECFAAUAAAACACHTuJADgvJFkMCAAB3BAAADgAAAAAA&#10;AAABACAAAAAsAQAAZHJzL2Uyb0RvYy54bWxQSwUGAAAAAAYABgBZAQAA4QUAAAAA&#10;">
                <v:fill on="f" focussize="0,0"/>
                <v:stroke on="f" weight="0.5pt"/>
                <v:imagedata o:title=""/>
                <o:lock v:ext="edit" aspectratio="f"/>
                <v:textbox>
                  <w:txbxContent>
                    <w:p w14:paraId="2D9E2CC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地址：西安市鄠邑区西户高新技术产业开发区大学南路3号</w:t>
                      </w:r>
                    </w:p>
                    <w:p w14:paraId="1ED39B7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电话：029-84360853  029-84514461</w:t>
                      </w:r>
                    </w:p>
                    <w:p w14:paraId="4463B2F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黑体" w:hAnsi="黑体" w:eastAsia="黑体" w:cs="黑体"/>
                          <w:b/>
                          <w:bCs/>
                          <w:i w:val="0"/>
                          <w:caps w:val="0"/>
                          <w:color w:val="0582BD"/>
                          <w:spacing w:val="0"/>
                          <w:sz w:val="24"/>
                          <w:szCs w:val="24"/>
                          <w:shd w:val="clear" w:fill="FFFFFF"/>
                          <w:lang w:val="en-US" w:eastAsia="zh-CN"/>
                        </w:rPr>
                      </w:pPr>
                      <w:r>
                        <w:rPr>
                          <w:rFonts w:hint="eastAsia" w:ascii="黑体" w:hAnsi="黑体" w:eastAsia="黑体" w:cs="黑体"/>
                          <w:b/>
                          <w:bCs/>
                          <w:i w:val="0"/>
                          <w:caps w:val="0"/>
                          <w:color w:val="0582BD"/>
                          <w:spacing w:val="0"/>
                          <w:sz w:val="24"/>
                          <w:szCs w:val="24"/>
                          <w:shd w:val="clear" w:fill="FFFFFF"/>
                          <w:lang w:val="en-US" w:eastAsia="zh-CN"/>
                        </w:rPr>
                        <w:t>网址：http://www.xaykxx.com/</w:t>
                      </w:r>
                    </w:p>
                  </w:txbxContent>
                </v:textbox>
              </v:shape>
            </w:pict>
          </mc:Fallback>
        </mc:AlternateContent>
      </w:r>
      <w:r>
        <w:rPr>
          <w:sz w:val="21"/>
        </w:rPr>
        <w:drawing>
          <wp:anchor distT="0" distB="0" distL="114300" distR="114300" simplePos="0" relativeHeight="251661312" behindDoc="1" locked="0" layoutInCell="1" allowOverlap="1">
            <wp:simplePos x="0" y="0"/>
            <wp:positionH relativeFrom="column">
              <wp:posOffset>-991235</wp:posOffset>
            </wp:positionH>
            <wp:positionV relativeFrom="paragraph">
              <wp:posOffset>8208645</wp:posOffset>
            </wp:positionV>
            <wp:extent cx="7598410" cy="1182370"/>
            <wp:effectExtent l="0" t="0" r="2540" b="17780"/>
            <wp:wrapNone/>
            <wp:docPr id="30" name="图片 30" descr="D:\Word设计\1平面设计\海报\2022.10.12商务封面封底\images\1_09.png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Word设计\1平面设计\海报\2022.10.12商务封面封底\images\1_09.png1_09"/>
                    <pic:cNvPicPr>
                      <a:picLocks noChangeAspect="1"/>
                    </pic:cNvPicPr>
                  </pic:nvPicPr>
                  <pic:blipFill>
                    <a:blip r:embed="rId27"/>
                    <a:srcRect/>
                    <a:stretch>
                      <a:fillRect/>
                    </a:stretch>
                  </pic:blipFill>
                  <pic:spPr>
                    <a:xfrm>
                      <a:off x="0" y="0"/>
                      <a:ext cx="7598410" cy="1182370"/>
                    </a:xfrm>
                    <a:prstGeom prst="rect">
                      <a:avLst/>
                    </a:prstGeom>
                  </pic:spPr>
                </pic:pic>
              </a:graphicData>
            </a:graphic>
          </wp:anchor>
        </w:drawing>
      </w:r>
      <w:r>
        <w:rPr>
          <w:rFonts w:hint="eastAsia"/>
          <w:sz w:val="21"/>
          <w:lang w:eastAsia="zh-CN"/>
        </w:rPr>
        <w:drawing>
          <wp:anchor distT="0" distB="0" distL="114300" distR="114300" simplePos="0" relativeHeight="251660288" behindDoc="1" locked="0" layoutInCell="1" allowOverlap="1">
            <wp:simplePos x="0" y="0"/>
            <wp:positionH relativeFrom="column">
              <wp:posOffset>-983615</wp:posOffset>
            </wp:positionH>
            <wp:positionV relativeFrom="paragraph">
              <wp:posOffset>-1339850</wp:posOffset>
            </wp:positionV>
            <wp:extent cx="4741545" cy="1527810"/>
            <wp:effectExtent l="0" t="0" r="1905" b="15240"/>
            <wp:wrapNone/>
            <wp:docPr id="25" name="图片 25" descr="D:\Word设计\1平面设计\海报\2022.10.12商务封面封底\images\1_01.png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Word设计\1平面设计\海报\2022.10.12商务封面封底\images\1_01.png1_01"/>
                    <pic:cNvPicPr>
                      <a:picLocks noChangeAspect="1"/>
                    </pic:cNvPicPr>
                  </pic:nvPicPr>
                  <pic:blipFill>
                    <a:blip r:embed="rId28"/>
                    <a:srcRect/>
                    <a:stretch>
                      <a:fillRect/>
                    </a:stretch>
                  </pic:blipFill>
                  <pic:spPr>
                    <a:xfrm>
                      <a:off x="0" y="0"/>
                      <a:ext cx="4741545" cy="1527810"/>
                    </a:xfrm>
                    <a:prstGeom prst="rect">
                      <a:avLst/>
                    </a:prstGeom>
                  </pic:spPr>
                </pic:pic>
              </a:graphicData>
            </a:graphic>
          </wp:anchor>
        </w:drawing>
      </w:r>
    </w:p>
    <w:sectPr>
      <w:pgSz w:w="11906" w:h="16838"/>
      <w:pgMar w:top="2098" w:right="1474" w:bottom="1928" w:left="1531"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B4D771D-D773-4F95-A717-CB3A6F8CD124}"/>
  </w:font>
  <w:font w:name="黑体">
    <w:panose1 w:val="02010609060101010101"/>
    <w:charset w:val="86"/>
    <w:family w:val="auto"/>
    <w:pitch w:val="default"/>
    <w:sig w:usb0="800002BF" w:usb1="38CF7CFA" w:usb2="00000016" w:usb3="00000000" w:csb0="00040001" w:csb1="00000000"/>
    <w:embedRegular r:id="rId2" w:fontKey="{09CE67F5-C698-44A2-93F8-75B418C272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869EBF4B-5AFC-42D9-B703-2F63C8BBFCEE}"/>
  </w:font>
  <w:font w:name="楷体_GB2312">
    <w:panose1 w:val="02010609030101010101"/>
    <w:charset w:val="86"/>
    <w:family w:val="auto"/>
    <w:pitch w:val="default"/>
    <w:sig w:usb0="00000001" w:usb1="080E0000" w:usb2="00000000" w:usb3="00000000" w:csb0="00040000" w:csb1="00000000"/>
    <w:embedRegular r:id="rId4" w:fontKey="{03B62779-9288-4415-BB77-8D8CB1DDF6D8}"/>
  </w:font>
  <w:font w:name="方正小标宋简体">
    <w:panose1 w:val="03000509000000000000"/>
    <w:charset w:val="86"/>
    <w:family w:val="auto"/>
    <w:pitch w:val="default"/>
    <w:sig w:usb0="00000001" w:usb1="080E0000" w:usb2="00000000" w:usb3="00000000" w:csb0="00040000" w:csb1="00000000"/>
    <w:embedRegular r:id="rId5" w:fontKey="{97CA0DAF-1D01-4C46-A4F4-D19EA6901E8C}"/>
  </w:font>
  <w:font w:name="方正小标宋_GBK">
    <w:panose1 w:val="02000000000000000000"/>
    <w:charset w:val="86"/>
    <w:family w:val="auto"/>
    <w:pitch w:val="default"/>
    <w:sig w:usb0="A00002BF" w:usb1="38CF7CFA" w:usb2="00082016" w:usb3="00000000" w:csb0="00040001" w:csb1="00000000"/>
    <w:embedRegular r:id="rId6" w:fontKey="{8EF48736-9E2F-4D15-B006-346480E7BB7A}"/>
  </w:font>
  <w:font w:name="微软雅黑">
    <w:panose1 w:val="020B0503020204020204"/>
    <w:charset w:val="86"/>
    <w:family w:val="auto"/>
    <w:pitch w:val="default"/>
    <w:sig w:usb0="80000287" w:usb1="280F3C52" w:usb2="00000016" w:usb3="00000000" w:csb0="0004001F" w:csb1="00000000"/>
    <w:embedRegular r:id="rId7" w:fontKey="{B475D1EE-2673-4367-A155-697E76B49A19}"/>
  </w:font>
  <w:font w:name="FangSong_GB2312">
    <w:altName w:val="仿宋_GB2312"/>
    <w:panose1 w:val="02010609060101010101"/>
    <w:charset w:val="86"/>
    <w:family w:val="modern"/>
    <w:pitch w:val="default"/>
    <w:sig w:usb0="00000000" w:usb1="00000000" w:usb2="00000010" w:usb3="00000000" w:csb0="00040001" w:csb1="00000000"/>
    <w:embedRegular r:id="rId8" w:fontKey="{CF36F2B0-3CC4-47D0-B844-68A87DC6DEBE}"/>
  </w:font>
  <w:font w:name="仿宋">
    <w:panose1 w:val="02010609060101010101"/>
    <w:charset w:val="86"/>
    <w:family w:val="auto"/>
    <w:pitch w:val="default"/>
    <w:sig w:usb0="800002BF" w:usb1="38CF7CFA" w:usb2="00000016" w:usb3="00000000" w:csb0="00040001" w:csb1="00000000"/>
    <w:embedRegular r:id="rId9" w:fontKey="{5F886219-FC6C-499B-94E5-E2D0E345E709}"/>
  </w:font>
  <w:font w:name="方正仿宋_GB2312">
    <w:panose1 w:val="02000000000000000000"/>
    <w:charset w:val="86"/>
    <w:family w:val="auto"/>
    <w:pitch w:val="default"/>
    <w:sig w:usb0="A00002BF" w:usb1="184F6CFA" w:usb2="00000012" w:usb3="00000000" w:csb0="00040001" w:csb1="00000000"/>
    <w:embedRegular r:id="rId10" w:fontKey="{D1C56337-4DB4-4D42-BA75-8C3D69985AB2}"/>
  </w:font>
  <w:font w:name="汉仪大黑简">
    <w:panose1 w:val="02010600000101010101"/>
    <w:charset w:val="86"/>
    <w:family w:val="auto"/>
    <w:pitch w:val="default"/>
    <w:sig w:usb0="00000001" w:usb1="080E0800" w:usb2="00000002" w:usb3="00000000" w:csb0="00040000" w:csb1="00000000"/>
    <w:embedRegular r:id="rId11" w:fontKey="{37F60416-5A71-479D-B131-1CEE0134F1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06E8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56F2">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7B104">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9337B">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519337B">
                    <w:pPr>
                      <w:pStyle w:val="13"/>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640"/>
      </w:pPr>
      <w:r>
        <w:separator/>
      </w:r>
    </w:p>
  </w:footnote>
  <w:footnote w:type="continuationSeparator" w:id="1">
    <w:p>
      <w:pPr>
        <w:spacing w:before="0" w:after="0"/>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6CBCE">
    <w:pPr>
      <w:pStyle w:val="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2Yzc0MTI2YTlmZjA2NmVjNzYyYWNhODNjNTg4NTYifQ=="/>
  </w:docVars>
  <w:rsids>
    <w:rsidRoot w:val="00000000"/>
    <w:rsid w:val="00CB3C62"/>
    <w:rsid w:val="012D0479"/>
    <w:rsid w:val="01BB7833"/>
    <w:rsid w:val="01C53421"/>
    <w:rsid w:val="029638CF"/>
    <w:rsid w:val="048437C2"/>
    <w:rsid w:val="04BC3FEE"/>
    <w:rsid w:val="05002B6F"/>
    <w:rsid w:val="05025778"/>
    <w:rsid w:val="05426B7A"/>
    <w:rsid w:val="05A47E39"/>
    <w:rsid w:val="060F4617"/>
    <w:rsid w:val="072B3261"/>
    <w:rsid w:val="07300CC3"/>
    <w:rsid w:val="076512BF"/>
    <w:rsid w:val="07852DBD"/>
    <w:rsid w:val="080E5A62"/>
    <w:rsid w:val="0827778E"/>
    <w:rsid w:val="08752E31"/>
    <w:rsid w:val="08D16D10"/>
    <w:rsid w:val="08E25FED"/>
    <w:rsid w:val="08E41D65"/>
    <w:rsid w:val="08FA3336"/>
    <w:rsid w:val="08FD2E27"/>
    <w:rsid w:val="095C067E"/>
    <w:rsid w:val="09C9041E"/>
    <w:rsid w:val="0B642F8A"/>
    <w:rsid w:val="0C773C66"/>
    <w:rsid w:val="0C9D1FA9"/>
    <w:rsid w:val="0CBF69F1"/>
    <w:rsid w:val="0CC127BB"/>
    <w:rsid w:val="0CF6642E"/>
    <w:rsid w:val="0D166366"/>
    <w:rsid w:val="0D5648B3"/>
    <w:rsid w:val="0DDE17CD"/>
    <w:rsid w:val="0E2D4AAB"/>
    <w:rsid w:val="0E3177FA"/>
    <w:rsid w:val="0ED61D65"/>
    <w:rsid w:val="0F026AA1"/>
    <w:rsid w:val="0F68672E"/>
    <w:rsid w:val="101C0036"/>
    <w:rsid w:val="105866AB"/>
    <w:rsid w:val="11992FCB"/>
    <w:rsid w:val="11E44B84"/>
    <w:rsid w:val="122405C7"/>
    <w:rsid w:val="124A70DD"/>
    <w:rsid w:val="128879FC"/>
    <w:rsid w:val="1299596E"/>
    <w:rsid w:val="12A762DD"/>
    <w:rsid w:val="130628D8"/>
    <w:rsid w:val="14987DE9"/>
    <w:rsid w:val="14AB1989"/>
    <w:rsid w:val="14F52C04"/>
    <w:rsid w:val="14FE5F5C"/>
    <w:rsid w:val="159D3D21"/>
    <w:rsid w:val="164E4CC1"/>
    <w:rsid w:val="16B8213B"/>
    <w:rsid w:val="17710C68"/>
    <w:rsid w:val="17B44FF8"/>
    <w:rsid w:val="17EF6030"/>
    <w:rsid w:val="182857C2"/>
    <w:rsid w:val="189D783A"/>
    <w:rsid w:val="18D07C10"/>
    <w:rsid w:val="192835A8"/>
    <w:rsid w:val="193E2DCB"/>
    <w:rsid w:val="19EC66A2"/>
    <w:rsid w:val="1A8939C1"/>
    <w:rsid w:val="1A8A3DEE"/>
    <w:rsid w:val="1B862808"/>
    <w:rsid w:val="1BB074A7"/>
    <w:rsid w:val="1D145130"/>
    <w:rsid w:val="1D4B1F5B"/>
    <w:rsid w:val="1DD261D8"/>
    <w:rsid w:val="1EDD6870"/>
    <w:rsid w:val="1EE066D3"/>
    <w:rsid w:val="1F4F2864"/>
    <w:rsid w:val="20191E9C"/>
    <w:rsid w:val="2098290B"/>
    <w:rsid w:val="212E1D64"/>
    <w:rsid w:val="213B5E42"/>
    <w:rsid w:val="215D04AF"/>
    <w:rsid w:val="230C3F3A"/>
    <w:rsid w:val="238735C1"/>
    <w:rsid w:val="241200EA"/>
    <w:rsid w:val="24376D95"/>
    <w:rsid w:val="24595FD0"/>
    <w:rsid w:val="24653902"/>
    <w:rsid w:val="24BE1264"/>
    <w:rsid w:val="255408A6"/>
    <w:rsid w:val="25B86958"/>
    <w:rsid w:val="26326BC9"/>
    <w:rsid w:val="26A85D28"/>
    <w:rsid w:val="26B11081"/>
    <w:rsid w:val="26D905D7"/>
    <w:rsid w:val="27343A60"/>
    <w:rsid w:val="273E043A"/>
    <w:rsid w:val="27802801"/>
    <w:rsid w:val="27CF0585"/>
    <w:rsid w:val="291D0C4F"/>
    <w:rsid w:val="295F5795"/>
    <w:rsid w:val="297A7E50"/>
    <w:rsid w:val="299407E6"/>
    <w:rsid w:val="2ABE1FBE"/>
    <w:rsid w:val="2B65068C"/>
    <w:rsid w:val="2BA84A00"/>
    <w:rsid w:val="2BD0617E"/>
    <w:rsid w:val="2C68240C"/>
    <w:rsid w:val="2C7768C8"/>
    <w:rsid w:val="2C7F1C22"/>
    <w:rsid w:val="2CF47B61"/>
    <w:rsid w:val="2D031F0A"/>
    <w:rsid w:val="2D7828F8"/>
    <w:rsid w:val="2F0C0928"/>
    <w:rsid w:val="2FD44BC7"/>
    <w:rsid w:val="2FD4646C"/>
    <w:rsid w:val="30422D49"/>
    <w:rsid w:val="30466CDD"/>
    <w:rsid w:val="31250220"/>
    <w:rsid w:val="314459E3"/>
    <w:rsid w:val="32157BF2"/>
    <w:rsid w:val="322272D6"/>
    <w:rsid w:val="324F3541"/>
    <w:rsid w:val="32C44BDA"/>
    <w:rsid w:val="336B42A0"/>
    <w:rsid w:val="340A6274"/>
    <w:rsid w:val="342A7FD7"/>
    <w:rsid w:val="34645984"/>
    <w:rsid w:val="34DE3A40"/>
    <w:rsid w:val="34F824E4"/>
    <w:rsid w:val="36201D7F"/>
    <w:rsid w:val="36703389"/>
    <w:rsid w:val="3699568D"/>
    <w:rsid w:val="372E5DD5"/>
    <w:rsid w:val="374675C3"/>
    <w:rsid w:val="37824B59"/>
    <w:rsid w:val="3797463F"/>
    <w:rsid w:val="389E51DD"/>
    <w:rsid w:val="38AF1E0B"/>
    <w:rsid w:val="39407D1C"/>
    <w:rsid w:val="3A8C0759"/>
    <w:rsid w:val="3A983BCB"/>
    <w:rsid w:val="3A992100"/>
    <w:rsid w:val="3B6A55BB"/>
    <w:rsid w:val="3BC741DD"/>
    <w:rsid w:val="3BD164F9"/>
    <w:rsid w:val="3BD827B4"/>
    <w:rsid w:val="3BF53366"/>
    <w:rsid w:val="3C116ECA"/>
    <w:rsid w:val="3C1F03E3"/>
    <w:rsid w:val="3C3A346E"/>
    <w:rsid w:val="3C3B5F7C"/>
    <w:rsid w:val="3C6E4331"/>
    <w:rsid w:val="3C822F4C"/>
    <w:rsid w:val="3CC176EC"/>
    <w:rsid w:val="3CDA2D45"/>
    <w:rsid w:val="3DB72FC9"/>
    <w:rsid w:val="3DBF00CF"/>
    <w:rsid w:val="3DED69EA"/>
    <w:rsid w:val="3E9D586E"/>
    <w:rsid w:val="3EB7484E"/>
    <w:rsid w:val="3F4C5AC3"/>
    <w:rsid w:val="40252179"/>
    <w:rsid w:val="405074CE"/>
    <w:rsid w:val="406E00C4"/>
    <w:rsid w:val="40721429"/>
    <w:rsid w:val="40BB6370"/>
    <w:rsid w:val="40D72DD3"/>
    <w:rsid w:val="4100127F"/>
    <w:rsid w:val="411C1A08"/>
    <w:rsid w:val="41974C87"/>
    <w:rsid w:val="41D72A00"/>
    <w:rsid w:val="42181D80"/>
    <w:rsid w:val="42DB35FF"/>
    <w:rsid w:val="42F500EF"/>
    <w:rsid w:val="42FD4514"/>
    <w:rsid w:val="43105D77"/>
    <w:rsid w:val="43340C18"/>
    <w:rsid w:val="43664B49"/>
    <w:rsid w:val="438C45B0"/>
    <w:rsid w:val="43E02B4D"/>
    <w:rsid w:val="44B111D1"/>
    <w:rsid w:val="45196317"/>
    <w:rsid w:val="454315E6"/>
    <w:rsid w:val="45D938A5"/>
    <w:rsid w:val="45F0744B"/>
    <w:rsid w:val="470B7EE1"/>
    <w:rsid w:val="47937B86"/>
    <w:rsid w:val="480706A9"/>
    <w:rsid w:val="4823268F"/>
    <w:rsid w:val="485644FA"/>
    <w:rsid w:val="486953B3"/>
    <w:rsid w:val="487D6BBD"/>
    <w:rsid w:val="48C20A74"/>
    <w:rsid w:val="49131272"/>
    <w:rsid w:val="49B33379"/>
    <w:rsid w:val="4A5A2F4A"/>
    <w:rsid w:val="4A6F057C"/>
    <w:rsid w:val="4A8A1BAF"/>
    <w:rsid w:val="4AE01685"/>
    <w:rsid w:val="4B097BF2"/>
    <w:rsid w:val="4BE34F89"/>
    <w:rsid w:val="4C8A2925"/>
    <w:rsid w:val="4D4B6C96"/>
    <w:rsid w:val="4D8B1D7C"/>
    <w:rsid w:val="4DDC25D7"/>
    <w:rsid w:val="4E4B72E5"/>
    <w:rsid w:val="4E5263F6"/>
    <w:rsid w:val="4EBB21ED"/>
    <w:rsid w:val="4F381A8F"/>
    <w:rsid w:val="4F7D74A2"/>
    <w:rsid w:val="50D17AA6"/>
    <w:rsid w:val="511B38A1"/>
    <w:rsid w:val="512F64F7"/>
    <w:rsid w:val="519D4113"/>
    <w:rsid w:val="5234021A"/>
    <w:rsid w:val="52434EB9"/>
    <w:rsid w:val="534C2DE1"/>
    <w:rsid w:val="54A84FC1"/>
    <w:rsid w:val="54E579B0"/>
    <w:rsid w:val="54F16968"/>
    <w:rsid w:val="555D6A39"/>
    <w:rsid w:val="558C7F6C"/>
    <w:rsid w:val="55E926C1"/>
    <w:rsid w:val="561F5757"/>
    <w:rsid w:val="56356D29"/>
    <w:rsid w:val="56835CE6"/>
    <w:rsid w:val="56990E40"/>
    <w:rsid w:val="57532E10"/>
    <w:rsid w:val="57592C33"/>
    <w:rsid w:val="57FF4C4C"/>
    <w:rsid w:val="58011CBB"/>
    <w:rsid w:val="586F7928"/>
    <w:rsid w:val="58847AF3"/>
    <w:rsid w:val="593730A6"/>
    <w:rsid w:val="59745DBA"/>
    <w:rsid w:val="59AD6640"/>
    <w:rsid w:val="59E067BA"/>
    <w:rsid w:val="59F9006D"/>
    <w:rsid w:val="5ABA77FD"/>
    <w:rsid w:val="5ADC5520"/>
    <w:rsid w:val="5AEA181B"/>
    <w:rsid w:val="5B411CCC"/>
    <w:rsid w:val="5B6F66A4"/>
    <w:rsid w:val="5C5739B8"/>
    <w:rsid w:val="5D10075D"/>
    <w:rsid w:val="5D225F2E"/>
    <w:rsid w:val="5D8A140E"/>
    <w:rsid w:val="5DA65EFA"/>
    <w:rsid w:val="5ED45A7C"/>
    <w:rsid w:val="5F8B5C0B"/>
    <w:rsid w:val="5FBE1B3D"/>
    <w:rsid w:val="60397415"/>
    <w:rsid w:val="60BB2ED0"/>
    <w:rsid w:val="61880654"/>
    <w:rsid w:val="62387182"/>
    <w:rsid w:val="627E48A2"/>
    <w:rsid w:val="62816E52"/>
    <w:rsid w:val="628E0819"/>
    <w:rsid w:val="62E154F4"/>
    <w:rsid w:val="62E60D7C"/>
    <w:rsid w:val="63854278"/>
    <w:rsid w:val="639570B0"/>
    <w:rsid w:val="63974B7F"/>
    <w:rsid w:val="64326656"/>
    <w:rsid w:val="643F0D73"/>
    <w:rsid w:val="653A164E"/>
    <w:rsid w:val="65E47E23"/>
    <w:rsid w:val="65ED6CD8"/>
    <w:rsid w:val="66BC5F1C"/>
    <w:rsid w:val="66EA76BB"/>
    <w:rsid w:val="675A10F9"/>
    <w:rsid w:val="678A67A9"/>
    <w:rsid w:val="67AF422A"/>
    <w:rsid w:val="67B37AAD"/>
    <w:rsid w:val="67BE346E"/>
    <w:rsid w:val="68093B71"/>
    <w:rsid w:val="68DC1286"/>
    <w:rsid w:val="68E50ABA"/>
    <w:rsid w:val="68F16ADF"/>
    <w:rsid w:val="695B664F"/>
    <w:rsid w:val="69C36677"/>
    <w:rsid w:val="69C935B8"/>
    <w:rsid w:val="69DB1359"/>
    <w:rsid w:val="6A1C5DDE"/>
    <w:rsid w:val="6A611A43"/>
    <w:rsid w:val="6A7A48B2"/>
    <w:rsid w:val="6AED1528"/>
    <w:rsid w:val="6B1116BB"/>
    <w:rsid w:val="6B1A3B93"/>
    <w:rsid w:val="6BE91CF0"/>
    <w:rsid w:val="6CAA1254"/>
    <w:rsid w:val="6DBD3434"/>
    <w:rsid w:val="6E82467D"/>
    <w:rsid w:val="6E8869EB"/>
    <w:rsid w:val="6EB5235D"/>
    <w:rsid w:val="6EF56BFD"/>
    <w:rsid w:val="6F0F5F11"/>
    <w:rsid w:val="70805004"/>
    <w:rsid w:val="70A94143"/>
    <w:rsid w:val="70B825D8"/>
    <w:rsid w:val="71121CE9"/>
    <w:rsid w:val="71BC71FD"/>
    <w:rsid w:val="724D2EF5"/>
    <w:rsid w:val="725516AA"/>
    <w:rsid w:val="725603F1"/>
    <w:rsid w:val="725A3947"/>
    <w:rsid w:val="733749E1"/>
    <w:rsid w:val="734463A5"/>
    <w:rsid w:val="736F3422"/>
    <w:rsid w:val="74363F40"/>
    <w:rsid w:val="74520CC9"/>
    <w:rsid w:val="75616D9B"/>
    <w:rsid w:val="75BD0032"/>
    <w:rsid w:val="76676A5C"/>
    <w:rsid w:val="774F3949"/>
    <w:rsid w:val="780F5AA2"/>
    <w:rsid w:val="786A240A"/>
    <w:rsid w:val="78D0464A"/>
    <w:rsid w:val="78F75B7C"/>
    <w:rsid w:val="79A52DF3"/>
    <w:rsid w:val="79B40B3F"/>
    <w:rsid w:val="79F44B96"/>
    <w:rsid w:val="7AB91427"/>
    <w:rsid w:val="7AD81180"/>
    <w:rsid w:val="7B4A65C9"/>
    <w:rsid w:val="7CB479A6"/>
    <w:rsid w:val="7CF77FE5"/>
    <w:rsid w:val="7D01670F"/>
    <w:rsid w:val="7D3E065B"/>
    <w:rsid w:val="7D775A02"/>
    <w:rsid w:val="7D980140"/>
    <w:rsid w:val="7DF2712A"/>
    <w:rsid w:val="7E9323D0"/>
    <w:rsid w:val="7F076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Lines="0" w:afterLines="0"/>
      <w:ind w:firstLine="420" w:firstLineChars="200"/>
      <w:jc w:val="both"/>
    </w:pPr>
    <w:rPr>
      <w:rFonts w:hint="eastAsia" w:ascii="Times New Roman" w:hAnsi="Times New Roman" w:eastAsia="仿宋_GB2312" w:cs="仿宋_GB2312"/>
      <w:kern w:val="2"/>
      <w:sz w:val="32"/>
      <w:szCs w:val="32"/>
      <w:lang w:val="en-US" w:eastAsia="zh-CN"/>
    </w:rPr>
  </w:style>
  <w:style w:type="paragraph" w:styleId="2">
    <w:name w:val="heading 1"/>
    <w:basedOn w:val="1"/>
    <w:next w:val="1"/>
    <w:link w:val="35"/>
    <w:autoRedefine/>
    <w:qFormat/>
    <w:uiPriority w:val="0"/>
    <w:pPr>
      <w:spacing w:beforeAutospacing="0" w:after="0" w:afterAutospacing="0"/>
      <w:ind w:left="0" w:leftChars="0" w:hanging="420" w:hangingChars="200"/>
      <w:jc w:val="left"/>
      <w:outlineLvl w:val="0"/>
    </w:pPr>
    <w:rPr>
      <w:rFonts w:ascii="宋体" w:hAnsi="宋体" w:eastAsia="黑体" w:cs="宋体"/>
      <w:b/>
      <w:bCs/>
      <w:kern w:val="44"/>
      <w:szCs w:val="48"/>
      <w:lang w:bidi="ar"/>
    </w:rPr>
  </w:style>
  <w:style w:type="paragraph" w:styleId="3">
    <w:name w:val="heading 2"/>
    <w:basedOn w:val="1"/>
    <w:next w:val="1"/>
    <w:link w:val="30"/>
    <w:autoRedefine/>
    <w:unhideWhenUsed/>
    <w:qFormat/>
    <w:uiPriority w:val="0"/>
    <w:pPr>
      <w:keepNext w:val="0"/>
      <w:keepLines w:val="0"/>
      <w:ind w:firstLine="420" w:firstLineChars="200"/>
      <w:outlineLvl w:val="1"/>
    </w:pPr>
    <w:rPr>
      <w:rFonts w:ascii="Arial" w:hAnsi="Arial" w:eastAsia="楷体_GB2312"/>
    </w:rPr>
  </w:style>
  <w:style w:type="paragraph" w:styleId="4">
    <w:name w:val="heading 3"/>
    <w:basedOn w:val="1"/>
    <w:next w:val="1"/>
    <w:link w:val="36"/>
    <w:unhideWhenUsed/>
    <w:qFormat/>
    <w:uiPriority w:val="0"/>
    <w:pPr>
      <w:keepNext/>
      <w:keepLines/>
      <w:spacing w:beforeLines="0" w:beforeAutospacing="0" w:afterLines="0" w:afterAutospacing="0" w:line="413" w:lineRule="auto"/>
      <w:outlineLvl w:val="2"/>
    </w:p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10">
    <w:name w:val="caption"/>
    <w:basedOn w:val="1"/>
    <w:next w:val="1"/>
    <w:autoRedefine/>
    <w:unhideWhenUsed/>
    <w:qFormat/>
    <w:uiPriority w:val="0"/>
    <w:rPr>
      <w:rFonts w:ascii="Arial" w:hAnsi="Arial" w:eastAsia="黑体"/>
      <w:sz w:val="24"/>
    </w:rPr>
  </w:style>
  <w:style w:type="paragraph" w:styleId="11">
    <w:name w:val="Body Text 3"/>
    <w:basedOn w:val="1"/>
    <w:autoRedefine/>
    <w:qFormat/>
    <w:uiPriority w:val="0"/>
    <w:pPr>
      <w:spacing w:after="120"/>
    </w:pPr>
    <w:rPr>
      <w:sz w:val="16"/>
      <w:szCs w:val="16"/>
    </w:rPr>
  </w:style>
  <w:style w:type="paragraph" w:styleId="12">
    <w:name w:val="toc 3"/>
    <w:basedOn w:val="1"/>
    <w:next w:val="1"/>
    <w:autoRedefine/>
    <w:qFormat/>
    <w:uiPriority w:val="0"/>
    <w:pPr>
      <w:ind w:left="840" w:leftChars="400"/>
    </w:pPr>
  </w:style>
  <w:style w:type="paragraph" w:styleId="13">
    <w:name w:val="footer"/>
    <w:basedOn w:val="1"/>
    <w:link w:val="38"/>
    <w:autoRedefine/>
    <w:qFormat/>
    <w:uiPriority w:val="0"/>
    <w:pPr>
      <w:tabs>
        <w:tab w:val="center" w:pos="4153"/>
        <w:tab w:val="right" w:pos="8306"/>
      </w:tabs>
      <w:snapToGrid w:val="0"/>
      <w:jc w:val="left"/>
    </w:pPr>
    <w:rPr>
      <w:sz w:val="18"/>
    </w:rPr>
  </w:style>
  <w:style w:type="paragraph" w:styleId="14">
    <w:name w:val="header"/>
    <w:basedOn w:val="1"/>
    <w:link w:val="3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rPr>
      <w:rFonts w:ascii="Times New Roman" w:hAnsi="Times New Roman"/>
      <w:sz w:val="24"/>
    </w:rPr>
  </w:style>
  <w:style w:type="paragraph" w:styleId="16">
    <w:name w:val="footnote text"/>
    <w:basedOn w:val="1"/>
    <w:qFormat/>
    <w:uiPriority w:val="0"/>
    <w:pPr>
      <w:snapToGrid w:val="0"/>
      <w:jc w:val="left"/>
    </w:pPr>
    <w:rPr>
      <w:sz w:val="18"/>
    </w:rPr>
  </w:style>
  <w:style w:type="paragraph" w:styleId="17">
    <w:name w:val="table of figures"/>
    <w:basedOn w:val="1"/>
    <w:next w:val="1"/>
    <w:autoRedefine/>
    <w:qFormat/>
    <w:uiPriority w:val="0"/>
    <w:pPr>
      <w:ind w:leftChars="200" w:hanging="200" w:hangingChars="200"/>
    </w:pPr>
    <w:rPr>
      <w:rFonts w:ascii="Times New Roman" w:hAnsi="Times New Roman"/>
      <w:sz w:val="24"/>
    </w:rPr>
  </w:style>
  <w:style w:type="paragraph" w:styleId="18">
    <w:name w:val="toc 2"/>
    <w:basedOn w:val="1"/>
    <w:next w:val="1"/>
    <w:autoRedefine/>
    <w:qFormat/>
    <w:uiPriority w:val="0"/>
    <w:pPr>
      <w:ind w:left="420" w:leftChars="200"/>
    </w:pPr>
    <w:rPr>
      <w:rFonts w:ascii="Times New Roman" w:hAnsi="Times New Roman"/>
      <w:sz w:val="24"/>
    </w:rPr>
  </w:style>
  <w:style w:type="paragraph" w:styleId="1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0">
    <w:name w:val="Title"/>
    <w:autoRedefine/>
    <w:qFormat/>
    <w:uiPriority w:val="0"/>
    <w:pPr>
      <w:widowControl w:val="0"/>
      <w:spacing w:before="240" w:after="60"/>
      <w:jc w:val="center"/>
      <w:outlineLvl w:val="0"/>
    </w:pPr>
    <w:rPr>
      <w:rFonts w:ascii="Times New Roman" w:hAnsi="Times New Roman" w:eastAsia="宋体" w:cs="Arial"/>
      <w:b/>
      <w:bCs/>
      <w:kern w:val="2"/>
      <w:sz w:val="21"/>
      <w:szCs w:val="32"/>
      <w:lang w:val="en-US" w:eastAsia="zh-CN" w:bidi="ar-SA"/>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footnote reference"/>
    <w:basedOn w:val="23"/>
    <w:qFormat/>
    <w:uiPriority w:val="0"/>
    <w:rPr>
      <w:vertAlign w:val="superscript"/>
    </w:rPr>
  </w:style>
  <w:style w:type="paragraph" w:customStyle="1" w:styleId="26">
    <w:name w:val="正文1"/>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7">
    <w:name w:val="Table Normal"/>
    <w:autoRedefine/>
    <w:semiHidden/>
    <w:unhideWhenUsed/>
    <w:qFormat/>
    <w:uiPriority w:val="0"/>
    <w:tblPr>
      <w:tblCellMar>
        <w:top w:w="0" w:type="dxa"/>
        <w:left w:w="0" w:type="dxa"/>
        <w:bottom w:w="0" w:type="dxa"/>
        <w:right w:w="0" w:type="dxa"/>
      </w:tblCellMar>
    </w:tblPr>
  </w:style>
  <w:style w:type="paragraph" w:customStyle="1" w:styleId="28">
    <w:name w:val="WPSOffice手动目录 1"/>
    <w:autoRedefine/>
    <w:qFormat/>
    <w:uiPriority w:val="0"/>
    <w:pPr>
      <w:ind w:leftChars="0"/>
    </w:pPr>
    <w:rPr>
      <w:rFonts w:ascii="Times New Roman" w:hAnsi="Times New Roman" w:eastAsia="宋体" w:cs="Times New Roman"/>
      <w:sz w:val="20"/>
      <w:szCs w:val="20"/>
    </w:rPr>
  </w:style>
  <w:style w:type="paragraph" w:customStyle="1" w:styleId="29">
    <w:name w:val="WPSOffice手动目录 2"/>
    <w:autoRedefine/>
    <w:qFormat/>
    <w:uiPriority w:val="0"/>
    <w:pPr>
      <w:ind w:leftChars="200"/>
    </w:pPr>
    <w:rPr>
      <w:rFonts w:ascii="Times New Roman" w:hAnsi="Times New Roman" w:eastAsia="宋体" w:cs="Times New Roman"/>
      <w:sz w:val="20"/>
      <w:szCs w:val="20"/>
    </w:rPr>
  </w:style>
  <w:style w:type="character" w:customStyle="1" w:styleId="30">
    <w:name w:val="标题 2 Char"/>
    <w:link w:val="3"/>
    <w:autoRedefine/>
    <w:qFormat/>
    <w:uiPriority w:val="0"/>
    <w:rPr>
      <w:rFonts w:ascii="Arial" w:hAnsi="Arial" w:eastAsia="楷体_GB2312" w:cs="Times New Roman"/>
      <w:kern w:val="2"/>
      <w:sz w:val="32"/>
      <w:szCs w:val="24"/>
      <w:lang w:val="en-US" w:eastAsia="zh-CN"/>
    </w:rPr>
  </w:style>
  <w:style w:type="character" w:customStyle="1" w:styleId="31">
    <w:name w:val="font41"/>
    <w:basedOn w:val="23"/>
    <w:autoRedefine/>
    <w:qFormat/>
    <w:uiPriority w:val="0"/>
    <w:rPr>
      <w:rFonts w:ascii="Arial" w:hAnsi="Arial" w:cs="Arial"/>
      <w:color w:val="000000"/>
      <w:sz w:val="24"/>
      <w:szCs w:val="24"/>
      <w:u w:val="none"/>
    </w:rPr>
  </w:style>
  <w:style w:type="character" w:customStyle="1" w:styleId="32">
    <w:name w:val="font31"/>
    <w:basedOn w:val="23"/>
    <w:autoRedefine/>
    <w:qFormat/>
    <w:uiPriority w:val="0"/>
    <w:rPr>
      <w:rFonts w:hint="eastAsia" w:ascii="宋体" w:hAnsi="宋体" w:eastAsia="宋体" w:cs="宋体"/>
      <w:color w:val="000000"/>
      <w:sz w:val="24"/>
      <w:szCs w:val="24"/>
      <w:u w:val="none"/>
    </w:rPr>
  </w:style>
  <w:style w:type="character" w:customStyle="1" w:styleId="33">
    <w:name w:val="font61"/>
    <w:basedOn w:val="23"/>
    <w:autoRedefine/>
    <w:qFormat/>
    <w:uiPriority w:val="0"/>
    <w:rPr>
      <w:rFonts w:hint="default" w:ascii="Arial" w:hAnsi="Arial" w:cs="Arial"/>
      <w:color w:val="000000"/>
      <w:sz w:val="21"/>
      <w:szCs w:val="21"/>
      <w:u w:val="none"/>
    </w:rPr>
  </w:style>
  <w:style w:type="character" w:customStyle="1" w:styleId="34">
    <w:name w:val="font51"/>
    <w:basedOn w:val="23"/>
    <w:autoRedefine/>
    <w:qFormat/>
    <w:uiPriority w:val="0"/>
    <w:rPr>
      <w:rFonts w:hint="eastAsia" w:ascii="宋体" w:hAnsi="宋体" w:eastAsia="宋体" w:cs="宋体"/>
      <w:color w:val="000000"/>
      <w:sz w:val="21"/>
      <w:szCs w:val="21"/>
      <w:u w:val="none"/>
    </w:rPr>
  </w:style>
  <w:style w:type="character" w:customStyle="1" w:styleId="35">
    <w:name w:val="标题 1 Char"/>
    <w:link w:val="2"/>
    <w:autoRedefine/>
    <w:qFormat/>
    <w:uiPriority w:val="0"/>
    <w:rPr>
      <w:rFonts w:hint="eastAsia" w:ascii="宋体" w:hAnsi="宋体" w:eastAsia="黑体" w:cs="宋体"/>
      <w:b/>
      <w:bCs/>
      <w:kern w:val="44"/>
      <w:sz w:val="32"/>
      <w:szCs w:val="48"/>
      <w:lang w:bidi="ar"/>
    </w:rPr>
  </w:style>
  <w:style w:type="character" w:customStyle="1" w:styleId="36">
    <w:name w:val="标题 3 Char"/>
    <w:link w:val="4"/>
    <w:qFormat/>
    <w:uiPriority w:val="0"/>
  </w:style>
  <w:style w:type="character" w:customStyle="1" w:styleId="37">
    <w:name w:val="页眉 字符"/>
    <w:basedOn w:val="23"/>
    <w:link w:val="14"/>
    <w:qFormat/>
    <w:uiPriority w:val="99"/>
    <w:rPr>
      <w:rFonts w:asciiTheme="minorHAnsi" w:hAnsiTheme="minorHAnsi" w:eastAsiaTheme="minorEastAsia" w:cstheme="minorBidi"/>
      <w:sz w:val="18"/>
    </w:rPr>
  </w:style>
  <w:style w:type="character" w:customStyle="1" w:styleId="38">
    <w:name w:val="页脚 字符"/>
    <w:basedOn w:val="23"/>
    <w:link w:val="13"/>
    <w:qFormat/>
    <w:uiPriority w:val="99"/>
    <w:rPr>
      <w:rFonts w:asciiTheme="minorHAnsi" w:hAnsiTheme="minorHAnsi" w:eastAsiaTheme="minorEastAsia" w:cstheme="minorBidi"/>
      <w:sz w:val="18"/>
    </w:rPr>
  </w:style>
  <w:style w:type="character" w:customStyle="1" w:styleId="39">
    <w:name w:val="font11"/>
    <w:basedOn w:val="23"/>
    <w:qFormat/>
    <w:uiPriority w:val="0"/>
    <w:rPr>
      <w:rFonts w:hint="eastAsia" w:ascii="宋体" w:hAnsi="宋体" w:eastAsia="宋体" w:cs="宋体"/>
      <w:color w:val="000000"/>
      <w:sz w:val="24"/>
      <w:szCs w:val="24"/>
      <w:u w:val="none"/>
    </w:rPr>
  </w:style>
  <w:style w:type="paragraph" w:customStyle="1" w:styleId="4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chart" Target="charts/chart4.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chart" Target="charts/chart3.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1.xml"/><Relationship Id="rId1" Type="http://schemas.openxmlformats.org/officeDocument/2006/relationships/oleObject" Target="file:///D:\xwechat_files\vampire1LJ_d28e\msg\file\2025-05\1_2025&#24180;&#32844;&#19994;&#25216;&#33021;&#37492;&#23450;&#20154;&#25968;&#32479;&#35745;&#34920;&#2084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6657;&#21150;\1.1&#26657;&#21150;&#24180;&#24230;&#24037;&#20316;\2025\2025&#24180;&#36136;&#37327;&#24180;&#25253;\&#36136;&#37327;&#24180;&#2525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毕业生去向分布</a:t>
            </a: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就业人数</c:v>
                </c:pt>
              </c:strCache>
            </c:strRef>
          </c:tx>
          <c:spPr>
            <a:scene3d>
              <a:camera prst="orthographicFront"/>
              <a:lightRig rig="threePt" dir="t"/>
            </a:scene3d>
            <a:sp3d contourW="9525"/>
          </c:spPr>
          <c:explosion val="0"/>
          <c:dPt>
            <c:idx val="0"/>
            <c:bubble3D val="0"/>
            <c:spPr>
              <a:solidFill>
                <a:schemeClr val="accent1">
                  <a:shade val="76667"/>
                </a:schemeClr>
              </a:solidFill>
              <a:ln>
                <a:solidFill>
                  <a:schemeClr val="bg1"/>
                </a:solidFill>
              </a:ln>
              <a:effectLst/>
            </c:spPr>
          </c:dPt>
          <c:dPt>
            <c:idx val="1"/>
            <c:bubble3D val="0"/>
            <c:spPr>
              <a:solidFill>
                <a:schemeClr val="accent2">
                  <a:shade val="76667"/>
                </a:schemeClr>
              </a:solidFill>
              <a:ln>
                <a:solidFill>
                  <a:schemeClr val="bg1"/>
                </a:solidFill>
              </a:ln>
              <a:effectLst/>
            </c:spPr>
          </c:dPt>
          <c:dPt>
            <c:idx val="2"/>
            <c:bubble3D val="0"/>
            <c:spPr>
              <a:solidFill>
                <a:schemeClr val="accent3">
                  <a:shade val="76667"/>
                </a:schemeClr>
              </a:solidFill>
              <a:ln>
                <a:solidFill>
                  <a:schemeClr val="bg1"/>
                </a:solidFill>
              </a:ln>
              <a:effectLst/>
            </c:spPr>
          </c:dPt>
          <c:dPt>
            <c:idx val="3"/>
            <c:bubble3D val="0"/>
            <c:spPr>
              <a:solidFill>
                <a:schemeClr val="accent4">
                  <a:shade val="76667"/>
                </a:schemeClr>
              </a:solidFill>
              <a:ln>
                <a:solidFill>
                  <a:schemeClr val="bg1"/>
                </a:solidFill>
              </a:ln>
              <a:effectLst/>
            </c:spPr>
          </c:dPt>
          <c:dPt>
            <c:idx val="4"/>
            <c:bubble3D val="0"/>
            <c:spPr>
              <a:solidFill>
                <a:schemeClr val="accent5">
                  <a:shade val="76667"/>
                </a:schemeClr>
              </a:solidFill>
              <a:ln>
                <a:solidFill>
                  <a:schemeClr val="bg1"/>
                </a:solidFill>
              </a:ln>
              <a:effectLst/>
            </c:spPr>
          </c:dPt>
          <c:dPt>
            <c:idx val="5"/>
            <c:bubble3D val="0"/>
            <c:spPr>
              <a:solidFill>
                <a:schemeClr val="accent6">
                  <a:shade val="76667"/>
                </a:schemeClr>
              </a:solidFill>
              <a:ln>
                <a:solidFill>
                  <a:schemeClr val="bg1"/>
                </a:solidFill>
              </a:ln>
              <a:effectLst/>
            </c:spPr>
          </c:dPt>
          <c:dPt>
            <c:idx val="6"/>
            <c:bubble3D val="0"/>
            <c:spPr>
              <a:solidFill>
                <a:schemeClr val="accent1">
                  <a:tint val="76667"/>
                </a:schemeClr>
              </a:solidFill>
              <a:ln>
                <a:solidFill>
                  <a:schemeClr val="bg1"/>
                </a:solidFill>
              </a:ln>
              <a:effectLst/>
            </c:spPr>
          </c:dPt>
          <c:dPt>
            <c:idx val="7"/>
            <c:bubble3D val="0"/>
            <c:spPr>
              <a:solidFill>
                <a:schemeClr val="accent2">
                  <a:tint val="76667"/>
                </a:schemeClr>
              </a:solidFill>
              <a:ln>
                <a:solidFill>
                  <a:schemeClr val="bg1"/>
                </a:solidFill>
              </a:ln>
              <a:effectLst/>
            </c:spPr>
          </c:dPt>
          <c:dLbls>
            <c:dLbl>
              <c:idx val="0"/>
              <c:layout>
                <c:manualLayout>
                  <c:x val="0.147197919129818"/>
                  <c:y val="0.054592720970537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0377201429076002"/>
                  <c:y val="0.166377816291161"/>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6706077086782"/>
                  <c:y val="0.0545927209705373"/>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0532040671553556"/>
                  <c:y val="0.191312059094153"/>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248285646724994"/>
                  <c:y val="-0.0233968804159446"/>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300167641140408"/>
                  <c:y val="0.134135286334826"/>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157838732560889"/>
                  <c:y val="-0.0675909878682843"/>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093912910778322"/>
                  <c:y val="-0.0233968804159446"/>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签订就业协议就业</c:v>
                </c:pt>
                <c:pt idx="1">
                  <c:v>普通高考升学</c:v>
                </c:pt>
                <c:pt idx="2">
                  <c:v>职教高考升学</c:v>
                </c:pt>
                <c:pt idx="3">
                  <c:v>贯通培养升学</c:v>
                </c:pt>
                <c:pt idx="4">
                  <c:v>出国、出境升学</c:v>
                </c:pt>
                <c:pt idx="5">
                  <c:v>不就业拟升学</c:v>
                </c:pt>
                <c:pt idx="6">
                  <c:v>待就业</c:v>
                </c:pt>
                <c:pt idx="7">
                  <c:v>其他暂不就业</c:v>
                </c:pt>
              </c:strCache>
            </c:strRef>
          </c:cat>
          <c:val>
            <c:numRef>
              <c:f>Sheet1!$B$2:$B$9</c:f>
              <c:numCache>
                <c:formatCode>General</c:formatCode>
                <c:ptCount val="8"/>
                <c:pt idx="0">
                  <c:v>161</c:v>
                </c:pt>
                <c:pt idx="1">
                  <c:v>2</c:v>
                </c:pt>
                <c:pt idx="2">
                  <c:v>326</c:v>
                </c:pt>
                <c:pt idx="3">
                  <c:v>346</c:v>
                </c:pt>
                <c:pt idx="4">
                  <c:v>1</c:v>
                </c:pt>
                <c:pt idx="5">
                  <c:v>36</c:v>
                </c:pt>
                <c:pt idx="6">
                  <c:v>3</c:v>
                </c:pt>
                <c:pt idx="7">
                  <c:v>4</c:v>
                </c:pt>
              </c:numCache>
            </c:numRef>
          </c:val>
        </c:ser>
        <c:dLbls>
          <c:showLegendKey val="0"/>
          <c:showVal val="1"/>
          <c:showCatName val="0"/>
          <c:showSerName val="0"/>
          <c:showPercent val="0"/>
          <c:showBubbleSize val="0"/>
        </c:dLbls>
      </c:pie3D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61c6c98-1612-4579-ab7d-30312eae6b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就业区域分布</a:t>
            </a:r>
          </a:p>
        </c:rich>
      </c:tx>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793426341924805"/>
          <c:y val="0.376447140381282"/>
          <c:w val="0.834220855994325"/>
          <c:h val="0.577261698440208"/>
        </c:manualLayout>
      </c:layout>
      <c:pie3DChart>
        <c:varyColors val="1"/>
        <c:ser>
          <c:idx val="0"/>
          <c:order val="0"/>
          <c:tx>
            <c:strRef>
              <c:f>Sheet1!$B$1</c:f>
              <c:strCache>
                <c:ptCount val="1"/>
                <c:pt idx="0">
                  <c:v>就业人数</c:v>
                </c:pt>
              </c:strCache>
            </c:strRef>
          </c:tx>
          <c:spPr>
            <a:scene3d>
              <a:camera prst="orthographicFront"/>
              <a:lightRig rig="threePt" dir="t"/>
            </a:scene3d>
            <a:sp3d contourW="9525"/>
          </c:spPr>
          <c:explosion val="0"/>
          <c:dPt>
            <c:idx val="0"/>
            <c:bubble3D val="0"/>
            <c:spPr>
              <a:solidFill>
                <a:schemeClr val="accent1">
                  <a:shade val="65000"/>
                </a:schemeClr>
              </a:solidFill>
              <a:ln>
                <a:solidFill>
                  <a:schemeClr val="bg1"/>
                </a:solidFill>
              </a:ln>
              <a:effectLst/>
            </c:spPr>
          </c:dPt>
          <c:dPt>
            <c:idx val="1"/>
            <c:bubble3D val="0"/>
            <c:spPr>
              <a:solidFill>
                <a:schemeClr val="accent2">
                  <a:shade val="65000"/>
                </a:schemeClr>
              </a:solidFill>
              <a:ln>
                <a:solidFill>
                  <a:schemeClr val="bg1"/>
                </a:solidFill>
              </a:ln>
              <a:effectLst/>
            </c:spPr>
          </c:dPt>
          <c:dPt>
            <c:idx val="2"/>
            <c:bubble3D val="0"/>
            <c:spPr>
              <a:solidFill>
                <a:schemeClr val="accent3">
                  <a:shade val="65000"/>
                </a:schemeClr>
              </a:solidFill>
              <a:ln>
                <a:solidFill>
                  <a:schemeClr val="bg1"/>
                </a:solidFill>
              </a:ln>
              <a:effectLst/>
            </c:spPr>
          </c:dPt>
          <c:dPt>
            <c:idx val="3"/>
            <c:bubble3D val="0"/>
            <c:spPr>
              <a:solidFill>
                <a:schemeClr val="accent4">
                  <a:shade val="65000"/>
                </a:schemeClr>
              </a:solidFill>
              <a:ln>
                <a:solidFill>
                  <a:schemeClr val="bg1"/>
                </a:solidFill>
              </a:ln>
              <a:effectLst/>
            </c:spPr>
          </c:dPt>
          <c:dPt>
            <c:idx val="4"/>
            <c:bubble3D val="0"/>
            <c:spPr>
              <a:solidFill>
                <a:schemeClr val="accent5">
                  <a:shade val="65000"/>
                </a:schemeClr>
              </a:solidFill>
              <a:ln>
                <a:solidFill>
                  <a:schemeClr val="bg1"/>
                </a:solidFill>
              </a:ln>
              <a:effectLst/>
            </c:spPr>
          </c:dPt>
          <c:dPt>
            <c:idx val="5"/>
            <c:bubble3D val="0"/>
            <c:spPr>
              <a:solidFill>
                <a:schemeClr val="accent6">
                  <a:shade val="65000"/>
                </a:schemeClr>
              </a:solidFill>
              <a:ln>
                <a:solidFill>
                  <a:schemeClr val="bg1"/>
                </a:solidFill>
              </a:ln>
              <a:effectLst/>
            </c:spPr>
          </c:dPt>
          <c:dPt>
            <c:idx val="6"/>
            <c:bubble3D val="0"/>
            <c:spPr>
              <a:solidFill>
                <a:schemeClr val="accent1"/>
              </a:solidFill>
              <a:ln>
                <a:solidFill>
                  <a:schemeClr val="bg1"/>
                </a:solidFill>
              </a:ln>
              <a:effectLst/>
            </c:spPr>
          </c:dPt>
          <c:dPt>
            <c:idx val="7"/>
            <c:bubble3D val="0"/>
            <c:spPr>
              <a:solidFill>
                <a:schemeClr val="accent2"/>
              </a:solidFill>
              <a:ln>
                <a:solidFill>
                  <a:schemeClr val="bg1"/>
                </a:solidFill>
              </a:ln>
              <a:effectLst/>
            </c:spPr>
          </c:dPt>
          <c:dPt>
            <c:idx val="8"/>
            <c:bubble3D val="0"/>
            <c:spPr>
              <a:solidFill>
                <a:schemeClr val="accent3"/>
              </a:solidFill>
              <a:ln>
                <a:solidFill>
                  <a:schemeClr val="bg1"/>
                </a:solidFill>
              </a:ln>
              <a:effectLst/>
            </c:spPr>
          </c:dPt>
          <c:dPt>
            <c:idx val="9"/>
            <c:bubble3D val="0"/>
            <c:spPr>
              <a:solidFill>
                <a:schemeClr val="accent4"/>
              </a:solidFill>
              <a:ln>
                <a:solidFill>
                  <a:schemeClr val="bg1"/>
                </a:solidFill>
              </a:ln>
              <a:effectLst/>
            </c:spPr>
          </c:dPt>
          <c:dPt>
            <c:idx val="10"/>
            <c:bubble3D val="0"/>
            <c:spPr>
              <a:solidFill>
                <a:schemeClr val="accent5"/>
              </a:solidFill>
              <a:ln>
                <a:solidFill>
                  <a:schemeClr val="bg1"/>
                </a:solidFill>
              </a:ln>
              <a:effectLst/>
            </c:spPr>
          </c:dPt>
          <c:dPt>
            <c:idx val="11"/>
            <c:bubble3D val="0"/>
            <c:spPr>
              <a:solidFill>
                <a:schemeClr val="accent6"/>
              </a:solidFill>
              <a:ln>
                <a:solidFill>
                  <a:schemeClr val="bg1"/>
                </a:solidFill>
              </a:ln>
              <a:effectLst/>
            </c:spPr>
          </c:dPt>
          <c:dLbls>
            <c:dLbl>
              <c:idx val="0"/>
              <c:layout>
                <c:manualLayout>
                  <c:x val="0.111728541026247"/>
                  <c:y val="-0.064991334488734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0868999763537479"/>
                  <c:y val="0.0285961871750433"/>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6706077086782"/>
                  <c:y val="0.0545927209705373"/>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727122251123197"/>
                  <c:y val="0.00413701576659722"/>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0354693781035706"/>
                  <c:y val="0.0311958405545927"/>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118822416646961"/>
                  <c:y val="0.0457470714301467"/>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207495861905888"/>
                  <c:y val="0.0311958405545927"/>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147278860325958"/>
                  <c:y val="-0.111785095320624"/>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0.156690046501687"/>
                  <c:y val="-0.181975736568458"/>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9"/>
              <c:layout>
                <c:manualLayout>
                  <c:x val="-0.095925429922646"/>
                  <c:y val="-0.233968804159445"/>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0"/>
              <c:layout>
                <c:manualLayout>
                  <c:x val="-0.00886734452589265"/>
                  <c:y val="-0.319757365684575"/>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11"/>
              <c:layout>
                <c:manualLayout>
                  <c:x val="0.0177346890517853"/>
                  <c:y val="-0.111785095320624"/>
                </c:manualLayout>
              </c:layout>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General" sourceLinked="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EllipseCallou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陕西省</c:v>
                </c:pt>
                <c:pt idx="1">
                  <c:v>北京市</c:v>
                </c:pt>
                <c:pt idx="2">
                  <c:v>甘肃省</c:v>
                </c:pt>
                <c:pt idx="3">
                  <c:v>广东省</c:v>
                </c:pt>
                <c:pt idx="4">
                  <c:v>河南省</c:v>
                </c:pt>
                <c:pt idx="5">
                  <c:v>湖北省</c:v>
                </c:pt>
                <c:pt idx="6">
                  <c:v>江苏省</c:v>
                </c:pt>
                <c:pt idx="7">
                  <c:v>宁夏回族自治区</c:v>
                </c:pt>
                <c:pt idx="8">
                  <c:v>山东省</c:v>
                </c:pt>
                <c:pt idx="9">
                  <c:v>山西省</c:v>
                </c:pt>
                <c:pt idx="10">
                  <c:v>新疆维吾尔自治区</c:v>
                </c:pt>
                <c:pt idx="11">
                  <c:v>浙江省</c:v>
                </c:pt>
              </c:strCache>
            </c:strRef>
          </c:cat>
          <c:val>
            <c:numRef>
              <c:f>Sheet1!$B$2:$B$13</c:f>
              <c:numCache>
                <c:formatCode>General</c:formatCode>
                <c:ptCount val="12"/>
                <c:pt idx="0">
                  <c:v>40</c:v>
                </c:pt>
                <c:pt idx="1">
                  <c:v>29</c:v>
                </c:pt>
                <c:pt idx="2">
                  <c:v>2</c:v>
                </c:pt>
                <c:pt idx="3">
                  <c:v>12</c:v>
                </c:pt>
                <c:pt idx="4">
                  <c:v>1</c:v>
                </c:pt>
                <c:pt idx="5">
                  <c:v>9</c:v>
                </c:pt>
                <c:pt idx="6">
                  <c:v>4</c:v>
                </c:pt>
                <c:pt idx="7">
                  <c:v>4</c:v>
                </c:pt>
                <c:pt idx="8">
                  <c:v>1</c:v>
                </c:pt>
                <c:pt idx="9">
                  <c:v>13</c:v>
                </c:pt>
                <c:pt idx="10">
                  <c:v>5</c:v>
                </c:pt>
                <c:pt idx="11">
                  <c:v>41</c:v>
                </c:pt>
              </c:numCache>
            </c:numRef>
          </c:val>
        </c:ser>
        <c:dLbls>
          <c:showLegendKey val="0"/>
          <c:showVal val="1"/>
          <c:showCatName val="0"/>
          <c:showSerName val="0"/>
          <c:showPercent val="0"/>
          <c:showBubbleSize val="0"/>
        </c:dLbls>
      </c:pie3D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4c0d43-2173-4482-aa87-bce8c53222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2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2025年职业技能鉴定人数</a:t>
            </a:r>
          </a:p>
        </c:rich>
      </c:tx>
      <c:layout/>
      <c:overlay val="0"/>
      <c:spPr>
        <a:noFill/>
        <a:ln>
          <a:noFill/>
        </a:ln>
        <a:effectLst/>
      </c:spPr>
    </c:title>
    <c:autoTitleDeleted val="0"/>
    <c:plotArea>
      <c:layout/>
      <c:pieChart>
        <c:varyColors val="1"/>
        <c:ser>
          <c:idx val="0"/>
          <c:order val="0"/>
          <c:spPr>
            <a:ln w="22225">
              <a:solidFill>
                <a:schemeClr val="bg1"/>
              </a:solidFill>
            </a:ln>
            <a:sp3d contourW="22225"/>
          </c:spPr>
          <c:explosion val="0"/>
          <c:dPt>
            <c:idx val="0"/>
            <c:bubble3D val="0"/>
            <c:spPr>
              <a:gradFill>
                <a:gsLst>
                  <a:gs pos="80000">
                    <a:schemeClr val="accent1"/>
                  </a:gs>
                  <a:gs pos="0">
                    <a:schemeClr val="accent1">
                      <a:hueOff val="-1670000"/>
                    </a:schemeClr>
                  </a:gs>
                </a:gsLst>
                <a:lin ang="5400000" scaled="0"/>
              </a:gradFill>
              <a:ln w="22225">
                <a:solidFill>
                  <a:schemeClr val="bg1"/>
                </a:solidFill>
              </a:ln>
              <a:effectLst/>
              <a:sp3d contourW="22225"/>
            </c:spPr>
          </c:dPt>
          <c:dPt>
            <c:idx val="1"/>
            <c:bubble3D val="0"/>
            <c:spPr>
              <a:gradFill>
                <a:gsLst>
                  <a:gs pos="80000">
                    <a:schemeClr val="accent2"/>
                  </a:gs>
                  <a:gs pos="0">
                    <a:schemeClr val="accent2">
                      <a:hueOff val="-1670000"/>
                    </a:schemeClr>
                  </a:gs>
                </a:gsLst>
                <a:lin ang="5400000" scaled="0"/>
              </a:gradFill>
              <a:ln w="22225">
                <a:solidFill>
                  <a:schemeClr val="bg1"/>
                </a:solidFill>
              </a:ln>
              <a:effectLst/>
              <a:sp3d contourW="22225"/>
            </c:spPr>
          </c:dPt>
          <c:dPt>
            <c:idx val="2"/>
            <c:bubble3D val="0"/>
            <c:spPr>
              <a:gradFill>
                <a:gsLst>
                  <a:gs pos="80000">
                    <a:schemeClr val="accent3"/>
                  </a:gs>
                  <a:gs pos="0">
                    <a:schemeClr val="accent3">
                      <a:hueOff val="-1670000"/>
                    </a:schemeClr>
                  </a:gs>
                </a:gsLst>
                <a:lin ang="5400000" scaled="0"/>
              </a:gradFill>
              <a:ln w="22225">
                <a:solidFill>
                  <a:schemeClr val="bg1"/>
                </a:solidFill>
              </a:ln>
              <a:effectLst/>
              <a:sp3d contourW="22225"/>
            </c:spPr>
          </c:dPt>
          <c:dPt>
            <c:idx val="3"/>
            <c:bubble3D val="0"/>
            <c:spPr>
              <a:gradFill>
                <a:gsLst>
                  <a:gs pos="80000">
                    <a:schemeClr val="accent4"/>
                  </a:gs>
                  <a:gs pos="0">
                    <a:schemeClr val="accent4">
                      <a:hueOff val="-1670000"/>
                    </a:schemeClr>
                  </a:gs>
                </a:gsLst>
                <a:lin ang="5400000" scaled="0"/>
              </a:gradFill>
              <a:ln w="22225">
                <a:solidFill>
                  <a:schemeClr val="bg1"/>
                </a:solidFill>
              </a:ln>
              <a:effectLst/>
              <a:sp3d contourW="22225"/>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multiLvlStrRef>
              <c:f>[1_2025年职业技能鉴定人数统计表全.xlsx]Sheet1!$K$32:$N$33</c:f>
              <c:multiLvlStrCache>
                <c:ptCount val="4"/>
                <c:lvl>
                  <c:pt idx="0">
                    <c:v>五级</c:v>
                  </c:pt>
                  <c:pt idx="1">
                    <c:v>四级</c:v>
                  </c:pt>
                  <c:pt idx="2">
                    <c:v>五级</c:v>
                  </c:pt>
                  <c:pt idx="3">
                    <c:v>四级</c:v>
                  </c:pt>
                </c:lvl>
                <c:lvl>
                  <c:pt idx="0">
                    <c:v>药物制剂工</c:v>
                  </c:pt>
                  <c:pt idx="2">
                    <c:v>保健按摩师</c:v>
                  </c:pt>
                </c:lvl>
              </c:multiLvlStrCache>
            </c:multiLvlStrRef>
          </c:cat>
          <c:val>
            <c:numRef>
              <c:f>[1_2025年职业技能鉴定人数统计表全.xlsx]Sheet1!$K$34:$N$34</c:f>
              <c:numCache>
                <c:formatCode>General</c:formatCode>
                <c:ptCount val="4"/>
                <c:pt idx="0">
                  <c:v>76</c:v>
                </c:pt>
                <c:pt idx="1">
                  <c:v>118</c:v>
                </c:pt>
                <c:pt idx="2">
                  <c:v>131</c:v>
                </c:pt>
                <c:pt idx="3">
                  <c:v>118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259b067-3dfe-4309-9d5d-0f4d3dbf54ea}"/>
      </c:ext>
    </c:extLst>
  </c:chart>
  <c:spPr>
    <a:solidFill>
      <a:schemeClr val="bg1"/>
    </a:solidFill>
    <a:ln w="6350" cap="flat" cmpd="sng" algn="ctr">
      <a:solidFill>
        <a:schemeClr val="tx1">
          <a:lumMod val="50000"/>
          <a:lumOff val="50000"/>
          <a:alpha val="25000"/>
        </a:schemeClr>
      </a:solidFill>
      <a:round/>
    </a:ln>
    <a:effectLst/>
  </c:spPr>
  <c:txPr>
    <a:bodyPr/>
    <a:lstStyle/>
    <a:p>
      <a:pPr>
        <a:defRPr lang="zh-CN" sz="900">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en-US" altLang="zh-CN"/>
              <a:t>2025</a:t>
            </a:r>
            <a:r>
              <a:rPr altLang="en-US"/>
              <a:t>年投入情况</a:t>
            </a:r>
            <a:endParaRPr altLang="en-US"/>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[质量年报数据.xlsx]Sheet1!$A$6:$A$9</c:f>
              <c:strCache>
                <c:ptCount val="4"/>
                <c:pt idx="0">
                  <c:v>教学核心投入</c:v>
                </c:pt>
                <c:pt idx="1">
                  <c:v>师资建设投入</c:v>
                </c:pt>
                <c:pt idx="2">
                  <c:v>学生发展投入</c:v>
                </c:pt>
                <c:pt idx="3">
                  <c:v>运转保障投入</c:v>
                </c:pt>
              </c:strCache>
            </c:strRef>
          </c:cat>
          <c:val>
            <c:numRef>
              <c:f>[质量年报数据.xlsx]Sheet1!$B$6:$B$9</c:f>
              <c:numCache>
                <c:formatCode>General</c:formatCode>
                <c:ptCount val="4"/>
                <c:pt idx="0">
                  <c:v>115</c:v>
                </c:pt>
                <c:pt idx="1">
                  <c:v>54.85</c:v>
                </c:pt>
                <c:pt idx="2">
                  <c:v>50</c:v>
                </c:pt>
                <c:pt idx="3">
                  <c:v>30.36</c:v>
                </c:pt>
              </c:numCache>
            </c:numRef>
          </c:val>
        </c:ser>
        <c:dLbls>
          <c:showLegendKey val="0"/>
          <c:showVal val="0"/>
          <c:showCatName val="0"/>
          <c:showSerName val="0"/>
          <c:showPercent val="0"/>
          <c:showBubbleSize val="0"/>
        </c:dLbls>
        <c:gapWidth val="246"/>
        <c:overlap val="-28"/>
        <c:axId val="278123999"/>
        <c:axId val="272030775"/>
      </c:barChart>
      <c:catAx>
        <c:axId val="2781239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2030775"/>
        <c:crosses val="autoZero"/>
        <c:auto val="1"/>
        <c:lblAlgn val="ctr"/>
        <c:lblOffset val="100"/>
        <c:noMultiLvlLbl val="0"/>
      </c:catAx>
      <c:valAx>
        <c:axId val="2720307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8123999"/>
        <c:crosses val="autoZero"/>
        <c:crossBetween val="between"/>
      </c:valAx>
      <c:spPr>
        <a:noFill/>
        <a:ln>
          <a:noFill/>
        </a:ln>
        <a:effectLst/>
      </c:spPr>
    </c:plotArea>
    <c:plotVisOnly val="1"/>
    <c:dispBlanksAs val="gap"/>
    <c:showDLblsOverMax val="0"/>
    <c:extLst>
      <c:ext uri="{0b15fc19-7d7d-44ad-8c2d-2c3a37ce22c3}">
        <chartProps xmlns="https://web.wps.cn/et/2018/main" chartId="{76e3c7cb-5c4b-4f8e-beee-bc203298aa8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9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styleClr val="auto"/>
    </cs:lnRef>
    <cs:fillRef idx="1">
      <cs:styleClr val="auto"/>
    </cs:fillRef>
    <cs:effectRef idx="0"/>
    <cs:fontRef idx="minor">
      <a:schemeClr val="dk1"/>
    </cs:fontRef>
    <cs:spPr>
      <a:ln>
        <a:solidFill>
          <a:schemeClr val="bg1"/>
        </a:solidFill>
      </a:ln>
      <a:effectLs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8">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4620000" scaled="0"/>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1">
    <a:dk1>
      <a:srgbClr val="000000"/>
    </a:dk1>
    <a:lt1>
      <a:srgbClr val="FFFFFF"/>
    </a:lt1>
    <a:dk2>
      <a:srgbClr val="44546A"/>
    </a:dk2>
    <a:lt2>
      <a:srgbClr val="E7E6E6"/>
    </a:lt2>
    <a:accent1>
      <a:srgbClr val="4F80FF"/>
    </a:accent1>
    <a:accent2>
      <a:srgbClr val="16CC8A"/>
    </a:accent2>
    <a:accent3>
      <a:srgbClr val="FFC619"/>
    </a:accent3>
    <a:accent4>
      <a:srgbClr val="FF7F41"/>
    </a:accent4>
    <a:accent5>
      <a:srgbClr val="F95F5F"/>
    </a:accent5>
    <a:accent6>
      <a:srgbClr val="A15C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招投标文件1"/>
      <sectRole val="1"/>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74e63a67-7866-4135-8422-57ba56459590</errorID>
      <errorWord>前  言</errorWord>
      <group>L1_AI</group>
      <groupName>深度校对</groupName>
      <ability>L2_AI_Grammar</ability>
      <abilityName>语法纠错</abilityName>
      <candidateList>
        <item>前言</item>
      </candidateList>
      <explain/>
      <paraID>2B9DAACD</paraID>
      <start>0</start>
      <end>2</end>
      <status>modified</status>
      <modifiedWord>前言</modifiedWord>
      <trackRevisions>false</trackRevisions>
    </reviewItem>
    <reviewItem>
      <errorID>99d12bf9-c23b-47b3-abeb-791e30b6f653</errorID>
      <errorWord>积极</errorWord>
      <group>L1_AI</group>
      <groupName>深度校对</groupName>
      <ability>L2_AI_Grammar</ability>
      <abilityName>语法纠错</abilityName>
      <candidateList>
        <item>，学校积极</item>
      </candidateList>
      <explain/>
      <paraID>41D01BD3</paraID>
      <start>78</start>
      <end>83</end>
      <status>modified</status>
      <modifiedWord>，学校积极</modifiedWord>
      <trackRevisions>false</trackRevisions>
    </reviewItem>
    <reviewItem>
      <errorID>5a5fb6b3-8c18-48be-b63f-6c1e80ac3b5a</errorID>
      <errorWord>培育</errorWord>
      <group>L1_AI</group>
      <groupName>深度校对</groupName>
      <ability>L2_AI_Word</ability>
      <abilityName>字词纠错</abilityName>
      <candidateList>
        <item>打造</item>
      </candidateList>
      <explain/>
      <paraID>60E30488</paraID>
      <start>23</start>
      <end>25</end>
      <status>modified</status>
      <modifiedWord>打造</modifiedWord>
      <trackRevisions>false</trackRevisions>
    </reviewItem>
    <reviewItem>
      <errorID>4341fdee-a229-4d61-a586-d8089ba1e076</errorID>
      <errorWord>及</errorWord>
      <group>L1_AI</group>
      <groupName>深度校对</groupName>
      <ability>L2_AI_Word</ability>
      <abilityName>字词纠错</abilityName>
      <candidateList>
        <item>和</item>
      </candidateList>
      <explain/>
      <paraID>38DCA502</paraID>
      <start>60</start>
      <end>61</end>
      <status>modified</status>
      <modifiedWord>和</modifiedWord>
      <trackRevisions>false</trackRevisions>
    </reviewItem>
    <reviewItem>
      <errorID>f0958e34-4c92-4131-a89b-45c01ccf2631</errorID>
      <errorWord>贯彻</errorWord>
      <group>L1_AI</group>
      <groupName>深度校对</groupName>
      <ability>L2_AI_Word</ability>
      <abilityName>字词纠错</abilityName>
      <candidateList>
        <item>践行</item>
      </candidateList>
      <explain/>
      <paraID>349D2B64</paraID>
      <start>208</start>
      <end>210</end>
      <status>modified</status>
      <modifiedWord>践行</modifiedWord>
      <trackRevisions>false</trackRevisions>
    </reviewItem>
    <reviewItem>
      <errorID>0fca5f3d-6e6d-455a-a033-fa6feb1aa340</errorID>
      <errorWord>教育为人民服务</errorWord>
      <group>L1_AI</group>
      <groupName>深度校对</groupName>
      <ability>L2_AI_Punc</ability>
      <abilityName>标点纠错</abilityName>
      <candidateList>
        <item>“教育为人民服务”</item>
      </candidateList>
      <explain/>
      <paraID>4D482841</paraID>
      <start>6</start>
      <end>15</end>
      <status>modified</status>
      <modifiedWord>“教育为人民服务”</modifiedWord>
      <trackRevisions>false</trackRevisions>
    </reviewItem>
    <reviewItem>
      <errorID>d10d1b6d-a9bf-4204-91f7-c03e7eb4d1ed</errorID>
      <errorWord>口腔</errorWord>
      <group>L1_AI</group>
      <groupName>深度校对</groupName>
      <ability>L2_AI_Grammar</ability>
      <abilityName>语法纠错</abilityName>
      <candidateList>
        <item>口腔医学技术</item>
      </candidateList>
      <explain/>
      <paraID>4D482841</paraID>
      <start>69</start>
      <end>75</end>
      <status>modified</status>
      <modifiedWord>口腔医学技术</modifiedWord>
      <trackRevisions>false</trackRevisions>
    </reviewItem>
    <reviewItem>
      <errorID>8ca5fc81-52e0-453b-b661-3bb698ae4635</errorID>
      <errorWord>成立</errorWord>
      <group>L1_Word</group>
      <groupName>字词问题</groupName>
      <ability>L2_Typo</ability>
      <abilityName>字词错误</abilityName>
      <candidateList>
        <item>成</item>
      </candidateList>
      <explain>（～儿）〈量〉十分之一叫一成：九～金｜村里今年收的庄稼比去年增加两～。</explain>
      <paraID>1BB21BE1</paraID>
      <start>9</start>
      <end>11</end>
      <status>ignored</status>
      <modifiedWord/>
      <trackRevisions>false</trackRevisions>
    </reviewItem>
    <reviewItem>
      <errorID>3dba441a-0f42-44c3-a3b3-b00859c8bcf4</errorID>
      <errorWord>立</errorWord>
      <group>L1_Word</group>
      <groupName>字词问题</groupName>
      <ability>L2_Typo</ability>
      <abilityName>字词错误</abilityName>
      <candidateList>
        <item/>
      </candidateList>
      <explain/>
      <paraID>1BB21BE1</paraID>
      <start>12</start>
      <end>13</end>
      <status>ignored</status>
      <modifiedWord/>
      <trackRevisions>false</trackRevisions>
    </reviewItem>
    <reviewItem>
      <errorID>4797fbf9-0127-4445-bbfd-2caf373b8d03</errorID>
      <errorWord>：</errorWord>
      <group>L1_Format</group>
      <groupName>格式问题</groupName>
      <ability>L2_HalfPunc</ability>
      <abilityName>全半角检查</abilityName>
      <candidateList>
        <item>:</item>
      </candidateList>
      <explain>文本全半角错误。</explain>
      <paraID> 550A997</paraID>
      <start>22</start>
      <end>23</end>
      <status>ignored</status>
      <modifiedWord/>
      <trackRevisions>false</trackRevisions>
    </reviewItem>
    <reviewItem>
      <errorID>561305a2-5575-40fa-9f39-dbc46ed3449a</errorID>
      <errorWord>：</errorWord>
      <group>L1_Format</group>
      <groupName>格式问题</groupName>
      <ability>L2_HalfPunc</ability>
      <abilityName>全半角检查</abilityName>
      <candidateList>
        <item>:</item>
      </candidateList>
      <explain>文本全半角错误。</explain>
      <paraID>6DB763BD</paraID>
      <start>22</start>
      <end>23</end>
      <status>ignored</status>
      <modifiedWord/>
      <trackRevisions>false</trackRevisions>
    </reviewItem>
    <reviewItem>
      <errorID>3fa131c2-31fc-4c0f-a549-9e6710d6b65f</errorID>
      <errorWord>：</errorWord>
      <group>L1_Format</group>
      <groupName>格式问题</groupName>
      <ability>L2_HalfPunc</ability>
      <abilityName>全半角检查</abilityName>
      <candidateList>
        <item>:</item>
      </candidateList>
      <explain>文本全半角错误。</explain>
      <paraID>2DCCEC78</paraID>
      <start>24</start>
      <end>25</end>
      <status>ignored</status>
      <modifiedWord/>
      <trackRevisions>false</trackRevisions>
    </reviewItem>
    <reviewItem>
      <errorID>755ae5cb-c285-486d-9e72-1e67d6466658</errorID>
      <errorWord>：</errorWord>
      <group>L1_Format</group>
      <groupName>格式问题</groupName>
      <ability>L2_HalfPunc</ability>
      <abilityName>全半角检查</abilityName>
      <candidateList>
        <item>:</item>
      </candidateList>
      <explain>文本全半角错误。</explain>
      <paraID>58400523</paraID>
      <start>22</start>
      <end>23</end>
      <status>ignored</status>
      <modifiedWord/>
      <trackRevisions>false</trackRevisions>
    </reviewItem>
    <reviewItem>
      <errorID>438d0fbf-62f2-4785-a758-bac8cd4f7c07</errorID>
      <errorWord>：</errorWord>
      <group>L1_Format</group>
      <groupName>格式问题</groupName>
      <ability>L2_HalfPunc</ability>
      <abilityName>全半角检查</abilityName>
      <candidateList>
        <item>:</item>
      </candidateList>
      <explain>文本全半角错误。</explain>
      <paraID>67032A27</paraID>
      <start>22</start>
      <end>23</end>
      <status>ignored</status>
      <modifiedWord/>
      <trackRevisions>false</trackRevisions>
    </reviewItem>
    <reviewItem>
      <errorID>613ed8ad-c37d-4fd6-85d7-23c1e7022014</errorID>
      <errorWord>：</errorWord>
      <group>L1_Format</group>
      <groupName>格式问题</groupName>
      <ability>L2_HalfPunc</ability>
      <abilityName>全半角检查</abilityName>
      <candidateList>
        <item>:</item>
      </candidateList>
      <explain>文本全半角错误。</explain>
      <paraID>2EF22D55</paraID>
      <start>24</start>
      <end>25</end>
      <status>ignored</status>
      <modifiedWord/>
      <trackRevisions>false</trackRevisions>
    </reviewItem>
    <reviewItem>
      <errorID>7dd6a77a-5705-4393-99c7-5ff2cdf3ccca</errorID>
      <errorWord>：</errorWord>
      <group>L1_Format</group>
      <groupName>格式问题</groupName>
      <ability>L2_HalfPunc</ability>
      <abilityName>全半角检查</abilityName>
      <candidateList>
        <item>:</item>
      </candidateList>
      <explain>文本全半角错误。</explain>
      <paraID>4F597F87</paraID>
      <start>24</start>
      <end>25</end>
      <status>ignored</status>
      <modifiedWord/>
      <trackRevisions>false</trackRevisions>
    </reviewItem>
    <reviewItem>
      <errorID>0d5a0e09-ecf0-4b9b-9f23-666a330369f8</errorID>
      <errorWord>：</errorWord>
      <group>L1_Format</group>
      <groupName>格式问题</groupName>
      <ability>L2_HalfPunc</ability>
      <abilityName>全半角检查</abilityName>
      <candidateList>
        <item>:</item>
      </candidateList>
      <explain>文本全半角错误。</explain>
      <paraID>20224FAD</paraID>
      <start>25</start>
      <end>26</end>
      <status>ignored</status>
      <modifiedWord/>
      <trackRevisions>false</trackRevisions>
    </reviewItem>
    <reviewItem>
      <errorID>e3924416-00b9-4b9b-99de-2a2ac6df29ea</errorID>
      <errorWord>：</errorWord>
      <group>L1_Format</group>
      <groupName>格式问题</groupName>
      <ability>L2_HalfPunc</ability>
      <abilityName>全半角检查</abilityName>
      <candidateList>
        <item>:</item>
      </candidateList>
      <explain>文本全半角错误。</explain>
      <paraID>79BD7C28</paraID>
      <start>24</start>
      <end>25</end>
      <status>ignored</status>
      <modifiedWord/>
      <trackRevisions>false</trackRevisions>
    </reviewItem>
    <reviewItem>
      <errorID>e5c06185-5ff8-4d90-8b15-20cc4489e52a</errorID>
      <errorWord>：</errorWord>
      <group>L1_Format</group>
      <groupName>格式问题</groupName>
      <ability>L2_HalfPunc</ability>
      <abilityName>全半角检查</abilityName>
      <candidateList>
        <item>:</item>
      </candidateList>
      <explain>文本全半角错误。</explain>
      <paraID> E448DC9</paraID>
      <start>23</start>
      <end>24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bbd47b-00c2-471f-bc25-6868a3fd145d}">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25428</Words>
  <Characters>26994</Characters>
  <Lines>0</Lines>
  <Paragraphs>0</Paragraphs>
  <TotalTime>121</TotalTime>
  <ScaleCrop>false</ScaleCrop>
  <LinksUpToDate>false</LinksUpToDate>
  <CharactersWithSpaces>27448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2022-12-05T01:54:00Z</dcterms:created>
  <dc:creator>Administrator</dc:creator>
  <cp:lastModifiedBy>菜呀！。</cp:lastModifiedBy>
  <cp:lastPrinted>2024-01-05T06:55:00Z</cp:lastPrinted>
  <dcterms:modified xsi:type="dcterms:W3CDTF">2025-12-30T02:52:10Z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B60623926A4448C4B9B49483BB8572EF_13</vt:lpwstr>
  </property>
  <property fmtid="{D5CDD505-2E9C-101B-9397-08002B2CF9AE}" pid="4" name="KSOTemplateDocerSaveRecord">
    <vt:lpwstr>eyJoZGlkIjoiMmU2Yzc0MTI2YTlmZjA2NmVjNzYyYWNhODNjNTg4NTYiLCJ1c2VySWQiOiIzNzEyNTU4NDYifQ==</vt:lpwstr>
  </property>
</Properties>
</file>